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A9" w:rsidRPr="001B0139" w:rsidRDefault="00A94BA9" w:rsidP="00A94BA9">
      <w:pPr>
        <w:spacing w:line="360" w:lineRule="auto"/>
        <w:jc w:val="center"/>
        <w:rPr>
          <w:rFonts w:ascii="Times New Roman" w:hAnsi="Times New Roman" w:cs="Times New Roman"/>
          <w:b/>
          <w:bCs/>
          <w:color w:val="000000" w:themeColor="text1"/>
          <w:sz w:val="24"/>
          <w:szCs w:val="24"/>
        </w:rPr>
      </w:pPr>
      <w:bookmarkStart w:id="0" w:name="_GoBack"/>
      <w:bookmarkEnd w:id="0"/>
      <w:r w:rsidRPr="001B0139">
        <w:rPr>
          <w:rFonts w:ascii="Times New Roman" w:hAnsi="Times New Roman" w:cs="Times New Roman"/>
          <w:b/>
          <w:bCs/>
          <w:color w:val="000000" w:themeColor="text1"/>
          <w:sz w:val="24"/>
          <w:szCs w:val="24"/>
        </w:rPr>
        <w:t>UZASADNIENIE</w:t>
      </w:r>
    </w:p>
    <w:p w:rsidR="00A94BA9" w:rsidRPr="001B0139" w:rsidRDefault="00A94BA9" w:rsidP="00A94BA9">
      <w:pPr>
        <w:spacing w:line="360" w:lineRule="auto"/>
        <w:jc w:val="both"/>
        <w:rPr>
          <w:rFonts w:ascii="Times New Roman" w:hAnsi="Times New Roman" w:cs="Times New Roman"/>
          <w:color w:val="000000" w:themeColor="text1"/>
          <w:sz w:val="24"/>
          <w:szCs w:val="24"/>
        </w:rPr>
      </w:pPr>
    </w:p>
    <w:p w:rsidR="00A94BA9" w:rsidRDefault="00A94BA9" w:rsidP="00A94BA9">
      <w:pPr>
        <w:spacing w:line="360" w:lineRule="auto"/>
        <w:ind w:firstLine="708"/>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Projektowana ustawa służy stosowaniu rozporządzenia Parlamentu Europejskiego i Rady (UE) 2017/2226 z dnia 30 listopada 2017 r.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w:t>
      </w:r>
      <w:r w:rsidR="00834393" w:rsidRPr="001B0139">
        <w:rPr>
          <w:rFonts w:ascii="Times New Roman" w:hAnsi="Times New Roman" w:cs="Times New Roman"/>
          <w:color w:val="000000" w:themeColor="text1"/>
          <w:sz w:val="24"/>
          <w:szCs w:val="24"/>
        </w:rPr>
        <w:t>na </w:t>
      </w:r>
      <w:r w:rsidRPr="001B0139">
        <w:rPr>
          <w:rFonts w:ascii="Times New Roman" w:hAnsi="Times New Roman" w:cs="Times New Roman"/>
          <w:color w:val="000000" w:themeColor="text1"/>
          <w:sz w:val="24"/>
          <w:szCs w:val="24"/>
        </w:rPr>
        <w:t>potrzeby ochrony porządku publicznego i zmieniającego konwencję wykonawczą do układu z Schengen i rozporządzenia (WE) nr 767/2008 i (UE) nr 1077/2011 (Dz. Urz. UE L 327 z 09.12.2017, str. 20, z późn. zm.), zwanego dalej „rozporządzeniem 2017/2226”.</w:t>
      </w:r>
    </w:p>
    <w:p w:rsidR="007C77BA" w:rsidRDefault="007C77BA" w:rsidP="00A94BA9">
      <w:pPr>
        <w:spacing w:line="360" w:lineRule="auto"/>
        <w:ind w:firstLine="708"/>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Powyższe rozporządzenie ustanawia – w celu skuteczniejszego zarządzania granicami zewnętrznymi oraz w szczególności w celu weryfikacji przestrzegania przepisów dotyczących dozwolonego okresu pobytu na terytorium państw członkowskich – System Wjazdu/Wyjazdu (EES), zwany dalej „Systemem” rejestrujący elektronicznie czas i miejsce wjazdu i wyjazdu obywateli państw trzecich dopuszczonych do pobytu krótkoterminowego na terytorium państw członkowskich oraz obliczający okres ich dozwolonego pobytu. Ma on zastąpić system obowiązkowego stemplowania paszportów obywateli państw trzecich, który stosują wszystkie państwa członkowskie. Ponadto w </w:t>
      </w:r>
      <w:r w:rsidRPr="001B0139">
        <w:rPr>
          <w:rFonts w:ascii="Times New Roman" w:hAnsi="Times New Roman" w:cs="Times New Roman"/>
          <w:color w:val="000000" w:themeColor="text1"/>
          <w:sz w:val="24"/>
          <w:szCs w:val="24"/>
          <w:shd w:val="clear" w:color="auto" w:fill="FFFFFF"/>
        </w:rPr>
        <w:t>Systemie będą ewidencjonowane decyzje o odmowie wjazdu</w:t>
      </w:r>
      <w:r w:rsidR="00F82111">
        <w:rPr>
          <w:rFonts w:ascii="Times New Roman" w:hAnsi="Times New Roman" w:cs="Times New Roman"/>
          <w:color w:val="000000" w:themeColor="text1"/>
          <w:sz w:val="24"/>
          <w:szCs w:val="24"/>
          <w:shd w:val="clear" w:color="auto" w:fill="FFFFFF"/>
        </w:rPr>
        <w:t>.</w:t>
      </w:r>
    </w:p>
    <w:p w:rsidR="00A94BA9" w:rsidRPr="001B0139" w:rsidRDefault="00A94BA9" w:rsidP="00A94BA9">
      <w:pPr>
        <w:widowControl/>
        <w:autoSpaceDE/>
        <w:autoSpaceDN/>
        <w:adjustRightInd/>
        <w:spacing w:line="360" w:lineRule="auto"/>
        <w:ind w:firstLine="708"/>
        <w:jc w:val="both"/>
        <w:rPr>
          <w:rFonts w:ascii="Times New Roman" w:hAnsi="Times New Roman" w:cs="Times New Roman"/>
          <w:color w:val="000000" w:themeColor="text1"/>
          <w:sz w:val="24"/>
          <w:szCs w:val="24"/>
          <w:shd w:val="clear" w:color="auto" w:fill="FFFFFF"/>
        </w:rPr>
      </w:pPr>
      <w:r w:rsidRPr="001B0139">
        <w:rPr>
          <w:rFonts w:ascii="Times New Roman" w:hAnsi="Times New Roman" w:cs="Times New Roman"/>
          <w:color w:val="000000" w:themeColor="text1"/>
          <w:sz w:val="24"/>
          <w:szCs w:val="24"/>
          <w:shd w:val="clear" w:color="auto" w:fill="FFFFFF"/>
        </w:rPr>
        <w:t xml:space="preserve">W rozporządzeniu 2017/2226 określono kategorie danych, które będą wprowadzane </w:t>
      </w:r>
      <w:r w:rsidR="00834393" w:rsidRPr="001B0139">
        <w:rPr>
          <w:rFonts w:ascii="Times New Roman" w:hAnsi="Times New Roman" w:cs="Times New Roman"/>
          <w:color w:val="000000" w:themeColor="text1"/>
          <w:sz w:val="24"/>
          <w:szCs w:val="24"/>
          <w:shd w:val="clear" w:color="auto" w:fill="FFFFFF"/>
        </w:rPr>
        <w:t>do </w:t>
      </w:r>
      <w:r w:rsidRPr="001B0139">
        <w:rPr>
          <w:rFonts w:ascii="Times New Roman" w:hAnsi="Times New Roman" w:cs="Times New Roman"/>
          <w:color w:val="000000" w:themeColor="text1"/>
          <w:sz w:val="24"/>
          <w:szCs w:val="24"/>
          <w:shd w:val="clear" w:color="auto" w:fill="FFFFFF"/>
        </w:rPr>
        <w:t xml:space="preserve">EES, cele, do jakich dane będą wykorzystywane, kryteria ich wprowadzania, organy uprawnione do dostępu do danych, dalsze zasady przetwarzania danych i ochrony danych osobowych, a także architekturę techniczną EES, zasady dotyczące jego funkcjonowania i użytkowania oraz interoperacyjność z innymi systemami informacyjnymi. </w:t>
      </w:r>
    </w:p>
    <w:p w:rsidR="00AD7AAF" w:rsidRPr="001B0139" w:rsidRDefault="00A94BA9" w:rsidP="00A94BA9">
      <w:pPr>
        <w:widowControl/>
        <w:autoSpaceDE/>
        <w:autoSpaceDN/>
        <w:adjustRightInd/>
        <w:spacing w:line="360" w:lineRule="auto"/>
        <w:ind w:firstLine="708"/>
        <w:jc w:val="both"/>
        <w:rPr>
          <w:rFonts w:ascii="Times New Roman" w:hAnsi="Times New Roman" w:cs="Times New Roman"/>
          <w:color w:val="000000" w:themeColor="text1"/>
          <w:sz w:val="24"/>
          <w:szCs w:val="24"/>
          <w:shd w:val="clear" w:color="auto" w:fill="FFFFFF"/>
        </w:rPr>
      </w:pPr>
      <w:r w:rsidRPr="001B0139">
        <w:rPr>
          <w:rFonts w:ascii="Times New Roman" w:hAnsi="Times New Roman" w:cs="Times New Roman"/>
          <w:color w:val="000000" w:themeColor="text1"/>
          <w:sz w:val="24"/>
          <w:szCs w:val="24"/>
          <w:shd w:val="clear" w:color="auto" w:fill="FFFFFF"/>
        </w:rPr>
        <w:lastRenderedPageBreak/>
        <w:t xml:space="preserve">Projektowana ustawa określa zasady i sposób realizacji udziału Rzeczypospolitej Polskiej w Systemie, w tym obowiązki i uprawnienia organów dotyczące przetwarzania danych zawartych w EES poprzez Krajowy System Informatyczny </w:t>
      </w:r>
      <w:r w:rsidR="00834393" w:rsidRPr="001B0139">
        <w:rPr>
          <w:rFonts w:ascii="Times New Roman" w:hAnsi="Times New Roman" w:cs="Times New Roman"/>
          <w:color w:val="000000" w:themeColor="text1"/>
          <w:sz w:val="24"/>
          <w:szCs w:val="24"/>
          <w:shd w:val="clear" w:color="auto" w:fill="FFFFFF"/>
        </w:rPr>
        <w:t>do spraw Systemu.</w:t>
      </w:r>
    </w:p>
    <w:p w:rsidR="00A94BA9" w:rsidRPr="001B0139" w:rsidRDefault="000B4FB4" w:rsidP="00A94BA9">
      <w:pPr>
        <w:widowControl/>
        <w:autoSpaceDE/>
        <w:autoSpaceDN/>
        <w:adjustRightInd/>
        <w:spacing w:line="360" w:lineRule="auto"/>
        <w:ind w:firstLine="708"/>
        <w:jc w:val="both"/>
        <w:rPr>
          <w:rFonts w:ascii="Times New Roman" w:hAnsi="Times New Roman" w:cs="Times New Roman"/>
          <w:color w:val="000000" w:themeColor="text1"/>
          <w:sz w:val="24"/>
          <w:szCs w:val="24"/>
          <w:shd w:val="clear" w:color="auto" w:fill="FFFFFF"/>
        </w:rPr>
      </w:pPr>
      <w:r w:rsidRPr="001B0139">
        <w:rPr>
          <w:rFonts w:ascii="Times New Roman" w:hAnsi="Times New Roman" w:cs="Times New Roman"/>
          <w:color w:val="000000" w:themeColor="text1"/>
          <w:sz w:val="24"/>
          <w:szCs w:val="24"/>
          <w:shd w:val="clear" w:color="auto" w:fill="FFFFFF"/>
        </w:rPr>
        <w:t>Art.</w:t>
      </w:r>
      <w:r w:rsidR="00AD7AAF" w:rsidRPr="001B0139">
        <w:rPr>
          <w:rFonts w:ascii="Times New Roman" w:hAnsi="Times New Roman" w:cs="Times New Roman"/>
          <w:color w:val="000000" w:themeColor="text1"/>
          <w:sz w:val="24"/>
          <w:szCs w:val="24"/>
          <w:shd w:val="clear" w:color="auto" w:fill="FFFFFF"/>
        </w:rPr>
        <w:t xml:space="preserve"> 1 </w:t>
      </w:r>
      <w:r w:rsidR="00834393" w:rsidRPr="001B0139">
        <w:rPr>
          <w:rFonts w:ascii="Times New Roman" w:hAnsi="Times New Roman" w:cs="Times New Roman"/>
          <w:color w:val="000000" w:themeColor="text1"/>
          <w:sz w:val="24"/>
          <w:szCs w:val="24"/>
          <w:shd w:val="clear" w:color="auto" w:fill="FFFFFF"/>
        </w:rPr>
        <w:t xml:space="preserve">ustawy </w:t>
      </w:r>
      <w:r w:rsidRPr="001B0139">
        <w:rPr>
          <w:rFonts w:ascii="Times New Roman" w:hAnsi="Times New Roman" w:cs="Times New Roman"/>
          <w:color w:val="000000" w:themeColor="text1"/>
          <w:sz w:val="24"/>
          <w:szCs w:val="24"/>
          <w:shd w:val="clear" w:color="auto" w:fill="FFFFFF"/>
        </w:rPr>
        <w:t>określa</w:t>
      </w:r>
      <w:r w:rsidR="00AD7AAF" w:rsidRPr="001B0139">
        <w:rPr>
          <w:rFonts w:ascii="Times New Roman" w:hAnsi="Times New Roman" w:cs="Times New Roman"/>
          <w:color w:val="000000" w:themeColor="text1"/>
          <w:sz w:val="24"/>
          <w:szCs w:val="24"/>
          <w:shd w:val="clear" w:color="auto" w:fill="FFFFFF"/>
        </w:rPr>
        <w:t xml:space="preserve"> zakres</w:t>
      </w:r>
      <w:r w:rsidR="00834393" w:rsidRPr="001B0139">
        <w:rPr>
          <w:rFonts w:ascii="Times New Roman" w:hAnsi="Times New Roman" w:cs="Times New Roman"/>
          <w:color w:val="000000" w:themeColor="text1"/>
          <w:sz w:val="24"/>
          <w:szCs w:val="24"/>
          <w:shd w:val="clear" w:color="auto" w:fill="FFFFFF"/>
        </w:rPr>
        <w:t xml:space="preserve"> projektowanej regulacji</w:t>
      </w:r>
      <w:r w:rsidRPr="001B0139">
        <w:rPr>
          <w:rFonts w:ascii="Times New Roman" w:hAnsi="Times New Roman" w:cs="Times New Roman"/>
          <w:color w:val="000000" w:themeColor="text1"/>
          <w:sz w:val="24"/>
          <w:szCs w:val="24"/>
          <w:shd w:val="clear" w:color="auto" w:fill="FFFFFF"/>
        </w:rPr>
        <w:t>.</w:t>
      </w:r>
    </w:p>
    <w:p w:rsidR="00A94BA9" w:rsidRPr="001B0139" w:rsidRDefault="00A94BA9" w:rsidP="00A94BA9">
      <w:pPr>
        <w:widowControl/>
        <w:autoSpaceDE/>
        <w:autoSpaceDN/>
        <w:adjustRightInd/>
        <w:spacing w:line="360" w:lineRule="auto"/>
        <w:ind w:firstLine="708"/>
        <w:jc w:val="both"/>
        <w:rPr>
          <w:rFonts w:ascii="Times New Roman" w:hAnsi="Times New Roman" w:cs="Times New Roman"/>
          <w:color w:val="000000" w:themeColor="text1"/>
          <w:sz w:val="24"/>
          <w:szCs w:val="24"/>
          <w:shd w:val="clear" w:color="auto" w:fill="FFFFFF"/>
        </w:rPr>
      </w:pPr>
      <w:r w:rsidRPr="001B0139">
        <w:rPr>
          <w:rFonts w:ascii="Times New Roman" w:hAnsi="Times New Roman" w:cs="Times New Roman"/>
          <w:color w:val="000000" w:themeColor="text1"/>
          <w:sz w:val="24"/>
          <w:szCs w:val="24"/>
          <w:shd w:val="clear" w:color="auto" w:fill="FFFFFF"/>
        </w:rPr>
        <w:t xml:space="preserve">W </w:t>
      </w:r>
      <w:r w:rsidR="000B4FB4" w:rsidRPr="001B0139">
        <w:rPr>
          <w:rFonts w:ascii="Times New Roman" w:hAnsi="Times New Roman" w:cs="Times New Roman"/>
          <w:color w:val="000000" w:themeColor="text1"/>
          <w:sz w:val="24"/>
          <w:szCs w:val="24"/>
          <w:shd w:val="clear" w:color="auto" w:fill="FFFFFF"/>
        </w:rPr>
        <w:t xml:space="preserve">projektowanym </w:t>
      </w:r>
      <w:r w:rsidRPr="001B0139">
        <w:rPr>
          <w:rFonts w:ascii="Times New Roman" w:hAnsi="Times New Roman" w:cs="Times New Roman"/>
          <w:color w:val="000000" w:themeColor="text1"/>
          <w:sz w:val="24"/>
          <w:szCs w:val="24"/>
          <w:shd w:val="clear" w:color="auto" w:fill="FFFFFF"/>
        </w:rPr>
        <w:t>art. 2 zawarto definicje podstawowych pojęć, w tym przez odwołanie się do odpowiednich przepisów rozporządzenia 2017/2226.</w:t>
      </w:r>
    </w:p>
    <w:p w:rsidR="00A94BA9" w:rsidRPr="001B0139" w:rsidRDefault="00A94BA9" w:rsidP="00A94BA9">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W art. 3 określono podmioty uprawnione do bezpośredniego dostępu do KSI EES w celu realizacji:</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przez organy imigracyjne uprawnienia wynikającego z art. 12 ust. 3 rozporządzenia 2017/2226, czyli możliwości generowania wykazu zawierającego dane wszystkich osób zidentyfikowanych jako osoby przekraczające okres dozwolonego pobytu, w celu podejmowania pr</w:t>
      </w:r>
      <w:r w:rsidR="000A41E5" w:rsidRPr="001B0139">
        <w:rPr>
          <w:rFonts w:ascii="Times New Roman" w:hAnsi="Times New Roman" w:cs="Times New Roman"/>
          <w:color w:val="000000" w:themeColor="text1"/>
          <w:sz w:val="24"/>
          <w:szCs w:val="24"/>
        </w:rPr>
        <w:t>zez nie odpowiednich działań.</w:t>
      </w:r>
      <w:r w:rsidRPr="001B0139">
        <w:rPr>
          <w:rFonts w:ascii="Times New Roman" w:hAnsi="Times New Roman" w:cs="Times New Roman"/>
          <w:color w:val="000000" w:themeColor="text1"/>
          <w:sz w:val="24"/>
          <w:szCs w:val="24"/>
        </w:rPr>
        <w:t xml:space="preserve"> W związku z imigracyjnym charakterem uprawnienia, projekt przewiduje, że będzie ono przysługiwało Straży Granicznej, wojewodzie, Szefowi Urzędu do Spraw Cudzoziemców, konsulowi i</w:t>
      </w:r>
      <w:r w:rsidR="00834393"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ministrowi właściwemu do spraw zagranicznych;</w:t>
      </w:r>
    </w:p>
    <w:p w:rsidR="00A94BA9" w:rsidRPr="001B0139" w:rsidRDefault="00834393"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przez służbę graniczną oraz organy imigracyjne obowiązków określonych w art. 19 rozporządzenia 2017/2226, tj. w przypadku cofnięcia, unieważnienia lub przedłużenia zezwolenia na pobyt krótkoterminowy. </w:t>
      </w:r>
      <w:r w:rsidRPr="003973C0">
        <w:rPr>
          <w:rFonts w:ascii="Times New Roman" w:hAnsi="Times New Roman" w:cs="Times New Roman"/>
          <w:color w:val="000000" w:themeColor="text1"/>
          <w:sz w:val="24"/>
          <w:szCs w:val="24"/>
        </w:rPr>
        <w:t>W związku z charakterem ww. czynności</w:t>
      </w:r>
      <w:r w:rsidR="003973C0" w:rsidRPr="003973C0">
        <w:rPr>
          <w:rFonts w:ascii="Times New Roman" w:hAnsi="Times New Roman" w:cs="Times New Roman"/>
          <w:color w:val="000000" w:themeColor="text1"/>
          <w:sz w:val="24"/>
          <w:szCs w:val="24"/>
        </w:rPr>
        <w:t xml:space="preserve">, wykonywanej </w:t>
      </w:r>
      <w:r w:rsidRPr="003973C0">
        <w:rPr>
          <w:rFonts w:ascii="Times New Roman" w:hAnsi="Times New Roman" w:cs="Times New Roman"/>
          <w:color w:val="000000" w:themeColor="text1"/>
          <w:sz w:val="24"/>
          <w:szCs w:val="24"/>
        </w:rPr>
        <w:t>podczas wykonywania czynności wobec cudzoziemców na podstawie innych przepisów</w:t>
      </w:r>
      <w:r w:rsidRPr="001B0139">
        <w:rPr>
          <w:rFonts w:ascii="Times New Roman" w:hAnsi="Times New Roman" w:cs="Times New Roman"/>
          <w:color w:val="000000" w:themeColor="text1"/>
          <w:sz w:val="24"/>
          <w:szCs w:val="24"/>
        </w:rPr>
        <w:t>, uprawnienie do dostępu do KSI EES w tym celu będzie przysługiwało ministrowi właściwemu do spraw zagranicznych, ministrowi właściwemu do spraw wewnętrznych, konsulowi, Szefowi Urzędu do Spraw Cudzoziemców, wojewodzie oraz Straży Granicznej</w:t>
      </w:r>
      <w:r w:rsidR="00A94BA9" w:rsidRPr="001B0139">
        <w:rPr>
          <w:rFonts w:ascii="Times New Roman" w:hAnsi="Times New Roman" w:cs="Times New Roman"/>
          <w:color w:val="000000" w:themeColor="text1"/>
          <w:sz w:val="24"/>
          <w:szCs w:val="24"/>
        </w:rPr>
        <w:t xml:space="preserve">; </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przez służbę graniczną obowiązków określonych w art. 14 ust. 1</w:t>
      </w:r>
      <w:r w:rsidR="00D176F5" w:rsidRPr="001B0139">
        <w:rPr>
          <w:rFonts w:ascii="Times New Roman" w:hAnsi="Times New Roman" w:cs="Times New Roman"/>
          <w:color w:val="000000" w:themeColor="text1"/>
          <w:sz w:val="24"/>
          <w:szCs w:val="24"/>
        </w:rPr>
        <w:t>–</w:t>
      </w:r>
      <w:r w:rsidRPr="001B0139">
        <w:rPr>
          <w:rFonts w:ascii="Times New Roman" w:hAnsi="Times New Roman" w:cs="Times New Roman"/>
          <w:color w:val="000000" w:themeColor="text1"/>
          <w:sz w:val="24"/>
          <w:szCs w:val="24"/>
        </w:rPr>
        <w:t xml:space="preserve">7 rozporządzenia 2017/2226, czyli tworzenia rejestru indywidualnego, dokonywania jego aktualizacji oraz </w:t>
      </w:r>
      <w:r w:rsidRPr="001B0139">
        <w:rPr>
          <w:rFonts w:ascii="Times New Roman" w:hAnsi="Times New Roman" w:cs="Times New Roman"/>
          <w:color w:val="000000" w:themeColor="text1"/>
          <w:sz w:val="24"/>
          <w:szCs w:val="24"/>
        </w:rPr>
        <w:lastRenderedPageBreak/>
        <w:t>wprowadzaniu wpisu dotyczącego wjazdu, wyjazdu lub odmowy wjazdu. W</w:t>
      </w:r>
      <w:r w:rsidR="00834393"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 xml:space="preserve">związku z granicznym charakterem obowiązku, zakłada się, że uprawnienie </w:t>
      </w:r>
      <w:r w:rsidR="00834393" w:rsidRPr="001B0139">
        <w:rPr>
          <w:rFonts w:ascii="Times New Roman" w:hAnsi="Times New Roman" w:cs="Times New Roman"/>
          <w:color w:val="000000" w:themeColor="text1"/>
          <w:sz w:val="24"/>
          <w:szCs w:val="24"/>
        </w:rPr>
        <w:t>do </w:t>
      </w:r>
      <w:r w:rsidRPr="001B0139">
        <w:rPr>
          <w:rFonts w:ascii="Times New Roman" w:hAnsi="Times New Roman" w:cs="Times New Roman"/>
          <w:color w:val="000000" w:themeColor="text1"/>
          <w:sz w:val="24"/>
          <w:szCs w:val="24"/>
        </w:rPr>
        <w:t>dostępu do KSI EES w tym celu będzie przysługiwało Straży Granicznej;</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przez organy imigracyjne oraz wizowe obowiązku określonego w art. 14 ust. 8 rozporządzenia 2017/2226, czyli utworzenia rejestru indywidualnego i wpisu dotyczącego wjazdu/wyjazdu na wniosek obywatela państwa trzeciego przebywającego na terytorium państwa członkowskiego, którego pobyt krótkoterminowy rozpoczyna się bezpośrednio po pobycie na podstawie dokumentu pobytowego lub wizy długoterminowej i nie utworzono wcześ</w:t>
      </w:r>
      <w:r w:rsidR="00747B79" w:rsidRPr="001B0139">
        <w:rPr>
          <w:rFonts w:ascii="Times New Roman" w:hAnsi="Times New Roman" w:cs="Times New Roman"/>
          <w:color w:val="000000" w:themeColor="text1"/>
          <w:sz w:val="24"/>
          <w:szCs w:val="24"/>
        </w:rPr>
        <w:t>niej rejestru indywidualnego. W </w:t>
      </w:r>
      <w:r w:rsidRPr="001B0139">
        <w:rPr>
          <w:rFonts w:ascii="Times New Roman" w:hAnsi="Times New Roman" w:cs="Times New Roman"/>
          <w:color w:val="000000" w:themeColor="text1"/>
          <w:sz w:val="24"/>
          <w:szCs w:val="24"/>
        </w:rPr>
        <w:t>związku z</w:t>
      </w:r>
      <w:r w:rsidR="00834393"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charakterem ww. czynności, które rodzą powstanie obowiązku wykonania czynności w</w:t>
      </w:r>
      <w:r w:rsidR="00834393"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Systemie, uprawnienie do dostępu do KSI EES w tym celu będzie przysługiwało Straży Granicznej, wojewodzie i Szefowi Urzędu do Spraw Cudzoziemców;</w:t>
      </w:r>
    </w:p>
    <w:p w:rsidR="00A94BA9" w:rsidRPr="001B0139" w:rsidRDefault="00A94BA9" w:rsidP="003F120A">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obowiązku wynikającego z art. 20 rozporządzenia 2017/2226, tj. utworzenia rejestru indywidualnego, aktualizacji ostatniego wpisu dotyczącego wjazdu/wyjazdu oraz usuwania istniejącego rejestru w przypadku obalenia domniemania, że obywatel państwa trzeciego nie spełnia warunków związanych z okresem dozwolonego pobytu na terytorium państw członkowskich lub przestał te warunki spełniać </w:t>
      </w:r>
      <w:r w:rsidR="003F120A" w:rsidRPr="001B0139">
        <w:rPr>
          <w:rFonts w:ascii="Times New Roman" w:hAnsi="Times New Roman" w:cs="Times New Roman"/>
          <w:color w:val="000000" w:themeColor="text1"/>
          <w:sz w:val="24"/>
          <w:szCs w:val="24"/>
        </w:rPr>
        <w:t xml:space="preserve">– </w:t>
      </w:r>
      <w:r w:rsidR="00075A33" w:rsidRPr="001B0139">
        <w:rPr>
          <w:rFonts w:ascii="Times New Roman" w:hAnsi="Times New Roman" w:cs="Times New Roman"/>
          <w:color w:val="000000" w:themeColor="text1"/>
          <w:sz w:val="24"/>
          <w:szCs w:val="24"/>
        </w:rPr>
        <w:t xml:space="preserve">będzie przysługiwało </w:t>
      </w:r>
      <w:r w:rsidRPr="001B0139">
        <w:rPr>
          <w:rFonts w:ascii="Times New Roman" w:hAnsi="Times New Roman" w:cs="Times New Roman"/>
          <w:color w:val="000000" w:themeColor="text1"/>
          <w:sz w:val="24"/>
          <w:szCs w:val="24"/>
        </w:rPr>
        <w:t xml:space="preserve">Policji, </w:t>
      </w:r>
      <w:r w:rsidR="00DF064D">
        <w:rPr>
          <w:rFonts w:ascii="Times New Roman" w:hAnsi="Times New Roman" w:cs="Times New Roman"/>
          <w:color w:val="000000" w:themeColor="text1"/>
          <w:sz w:val="24"/>
          <w:szCs w:val="24"/>
        </w:rPr>
        <w:t xml:space="preserve">Krajowej Administracji </w:t>
      </w:r>
      <w:r w:rsidRPr="001B0139">
        <w:rPr>
          <w:rFonts w:ascii="Times New Roman" w:hAnsi="Times New Roman" w:cs="Times New Roman"/>
          <w:color w:val="000000" w:themeColor="text1"/>
          <w:sz w:val="24"/>
          <w:szCs w:val="24"/>
        </w:rPr>
        <w:t xml:space="preserve">Skarbowej, Straży Granicznej, wojewodzie </w:t>
      </w:r>
      <w:r w:rsidR="00834393" w:rsidRPr="001B0139">
        <w:rPr>
          <w:rFonts w:ascii="Times New Roman" w:hAnsi="Times New Roman" w:cs="Times New Roman"/>
          <w:color w:val="000000" w:themeColor="text1"/>
          <w:sz w:val="24"/>
          <w:szCs w:val="24"/>
        </w:rPr>
        <w:t>i </w:t>
      </w:r>
      <w:r w:rsidRPr="001B0139">
        <w:rPr>
          <w:rFonts w:ascii="Times New Roman" w:hAnsi="Times New Roman" w:cs="Times New Roman"/>
          <w:color w:val="000000" w:themeColor="text1"/>
          <w:sz w:val="24"/>
          <w:szCs w:val="24"/>
        </w:rPr>
        <w:t>Szefowi Urzędu do Spraw Cudzoziemców;</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obowiązku wynikającego z art. 23 rozporządzenia 2017/2226, tj. </w:t>
      </w:r>
      <w:r w:rsidRPr="001B0139">
        <w:rPr>
          <w:rFonts w:ascii="Times New Roman" w:hAnsi="Times New Roman" w:cs="Times New Roman"/>
          <w:color w:val="000000" w:themeColor="text1"/>
          <w:sz w:val="24"/>
          <w:szCs w:val="24"/>
          <w:shd w:val="clear" w:color="auto" w:fill="FFFFFF"/>
        </w:rPr>
        <w:t>zweryfikowania tożsamości i wcześniejszej rejestracji obywatela państwa trzeciego, w celu aktualizacji danych EES oraz w celu przeglądania danych w zakresi</w:t>
      </w:r>
      <w:r w:rsidR="007C77BA">
        <w:rPr>
          <w:rFonts w:ascii="Times New Roman" w:hAnsi="Times New Roman" w:cs="Times New Roman"/>
          <w:color w:val="000000" w:themeColor="text1"/>
          <w:sz w:val="24"/>
          <w:szCs w:val="24"/>
          <w:shd w:val="clear" w:color="auto" w:fill="FFFFFF"/>
        </w:rPr>
        <w:t>e, w jakim jest to niezbędne do </w:t>
      </w:r>
      <w:r w:rsidRPr="001B0139">
        <w:rPr>
          <w:rFonts w:ascii="Times New Roman" w:hAnsi="Times New Roman" w:cs="Times New Roman"/>
          <w:color w:val="000000" w:themeColor="text1"/>
          <w:sz w:val="24"/>
          <w:szCs w:val="24"/>
          <w:shd w:val="clear" w:color="auto" w:fill="FFFFFF"/>
        </w:rPr>
        <w:t xml:space="preserve">dokonywania odpraw granicznych. </w:t>
      </w:r>
      <w:r w:rsidRPr="001B0139">
        <w:rPr>
          <w:rFonts w:ascii="Times New Roman" w:hAnsi="Times New Roman" w:cs="Times New Roman"/>
          <w:color w:val="000000" w:themeColor="text1"/>
          <w:sz w:val="24"/>
          <w:szCs w:val="24"/>
        </w:rPr>
        <w:t>W związku z granicznym charakterem uprawnienia, zostanie ono przyznane Straży Granicznej;</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lastRenderedPageBreak/>
        <w:t>obowiązku określonego w art. 25 rozporządzenia 2017/2226, tj. przeglądania EES w</w:t>
      </w:r>
      <w:r w:rsidR="00834393"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 xml:space="preserve">celu rozpatrywania wniosków o dostęp do krajowych programów ułatwień (o których mowa w art. 8d rozporządzenia 2016/399) oraz w celu wydawania decyzji dotyczących tych wniosków. Uprawnienie </w:t>
      </w:r>
      <w:r w:rsidR="00075A33" w:rsidRPr="001B0139">
        <w:rPr>
          <w:rFonts w:ascii="Times New Roman" w:hAnsi="Times New Roman" w:cs="Times New Roman"/>
          <w:color w:val="000000" w:themeColor="text1"/>
          <w:sz w:val="24"/>
          <w:szCs w:val="24"/>
        </w:rPr>
        <w:t xml:space="preserve">będzie </w:t>
      </w:r>
      <w:r w:rsidRPr="001B0139">
        <w:rPr>
          <w:rFonts w:ascii="Times New Roman" w:hAnsi="Times New Roman" w:cs="Times New Roman"/>
          <w:color w:val="000000" w:themeColor="text1"/>
          <w:sz w:val="24"/>
          <w:szCs w:val="24"/>
        </w:rPr>
        <w:t xml:space="preserve">przysługiwać Straży Granicznej, wojewodzie, Szefowi Urzędu do Spraw Cudzoziemców, konsulowi </w:t>
      </w:r>
      <w:r w:rsidR="00075A33" w:rsidRPr="001B0139">
        <w:rPr>
          <w:rFonts w:ascii="Times New Roman" w:hAnsi="Times New Roman" w:cs="Times New Roman"/>
          <w:color w:val="000000" w:themeColor="text1"/>
          <w:sz w:val="24"/>
          <w:szCs w:val="24"/>
        </w:rPr>
        <w:t xml:space="preserve">i </w:t>
      </w:r>
      <w:r w:rsidRPr="001B0139">
        <w:rPr>
          <w:rFonts w:ascii="Times New Roman" w:hAnsi="Times New Roman" w:cs="Times New Roman"/>
          <w:color w:val="000000" w:themeColor="text1"/>
          <w:sz w:val="24"/>
          <w:szCs w:val="24"/>
        </w:rPr>
        <w:t xml:space="preserve">ministrowi właściwemu </w:t>
      </w:r>
      <w:r w:rsidR="00834393" w:rsidRPr="001B0139">
        <w:rPr>
          <w:rFonts w:ascii="Times New Roman" w:hAnsi="Times New Roman" w:cs="Times New Roman"/>
          <w:color w:val="000000" w:themeColor="text1"/>
          <w:sz w:val="24"/>
          <w:szCs w:val="24"/>
        </w:rPr>
        <w:t>do </w:t>
      </w:r>
      <w:r w:rsidRPr="001B0139">
        <w:rPr>
          <w:rFonts w:ascii="Times New Roman" w:hAnsi="Times New Roman" w:cs="Times New Roman"/>
          <w:color w:val="000000" w:themeColor="text1"/>
          <w:sz w:val="24"/>
          <w:szCs w:val="24"/>
        </w:rPr>
        <w:t>spraw zagranicznych;</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uprawnienia określonego w art. 26 rozporządzenia 2017/2226, tj. weryfikacji tożsamości obywatela państwa trzeciego lub spraw</w:t>
      </w:r>
      <w:r w:rsidR="007C77BA">
        <w:rPr>
          <w:rFonts w:ascii="Times New Roman" w:hAnsi="Times New Roman" w:cs="Times New Roman"/>
          <w:color w:val="000000" w:themeColor="text1"/>
          <w:sz w:val="24"/>
          <w:szCs w:val="24"/>
        </w:rPr>
        <w:t>dzenia, lub zweryfikowania, czy </w:t>
      </w:r>
      <w:r w:rsidRPr="001B0139">
        <w:rPr>
          <w:rFonts w:ascii="Times New Roman" w:hAnsi="Times New Roman" w:cs="Times New Roman"/>
          <w:color w:val="000000" w:themeColor="text1"/>
          <w:sz w:val="24"/>
          <w:szCs w:val="24"/>
        </w:rPr>
        <w:t xml:space="preserve">spełnione zostały warunki wjazdu lub pobytu na terytorium państw członkowskich. </w:t>
      </w:r>
      <w:r w:rsidR="00834393" w:rsidRPr="001B0139">
        <w:rPr>
          <w:rFonts w:ascii="Times New Roman" w:hAnsi="Times New Roman" w:cs="Times New Roman"/>
          <w:color w:val="000000" w:themeColor="text1"/>
          <w:sz w:val="24"/>
          <w:szCs w:val="24"/>
        </w:rPr>
        <w:t>W </w:t>
      </w:r>
      <w:r w:rsidRPr="001B0139">
        <w:rPr>
          <w:rFonts w:ascii="Times New Roman" w:hAnsi="Times New Roman" w:cs="Times New Roman"/>
          <w:color w:val="000000" w:themeColor="text1"/>
          <w:sz w:val="24"/>
          <w:szCs w:val="24"/>
        </w:rPr>
        <w:t>związku z migracyjnym charakterem uprawnienia związanym z przeprowadzaniem kontroli legalności pobytu cudzoziemców na terytorium Rzeczypospolitej Polskiej, o</w:t>
      </w:r>
      <w:r w:rsidR="00834393"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 xml:space="preserve">której mowa w art. 289 ustawy o cudzoziemcach, projekt zakłada, że uprawnienie </w:t>
      </w:r>
      <w:r w:rsidR="00834393" w:rsidRPr="001B0139">
        <w:rPr>
          <w:rFonts w:ascii="Times New Roman" w:hAnsi="Times New Roman" w:cs="Times New Roman"/>
          <w:color w:val="000000" w:themeColor="text1"/>
          <w:sz w:val="24"/>
          <w:szCs w:val="24"/>
        </w:rPr>
        <w:t>to </w:t>
      </w:r>
      <w:r w:rsidRPr="001B0139">
        <w:rPr>
          <w:rFonts w:ascii="Times New Roman" w:hAnsi="Times New Roman" w:cs="Times New Roman"/>
          <w:color w:val="000000" w:themeColor="text1"/>
          <w:sz w:val="24"/>
          <w:szCs w:val="24"/>
        </w:rPr>
        <w:t xml:space="preserve">będzie przysługiwało Straży Granicznej, wojewodzie, Szefowi Urzędu do Spraw Cudzoziemców, Policji </w:t>
      </w:r>
      <w:r w:rsidR="00075A33" w:rsidRPr="001B0139">
        <w:rPr>
          <w:rFonts w:ascii="Times New Roman" w:hAnsi="Times New Roman" w:cs="Times New Roman"/>
          <w:color w:val="000000" w:themeColor="text1"/>
          <w:sz w:val="24"/>
          <w:szCs w:val="24"/>
        </w:rPr>
        <w:t xml:space="preserve">i </w:t>
      </w:r>
      <w:r w:rsidR="00DF064D">
        <w:rPr>
          <w:rFonts w:ascii="Times New Roman" w:hAnsi="Times New Roman" w:cs="Times New Roman"/>
          <w:color w:val="000000" w:themeColor="text1"/>
          <w:sz w:val="24"/>
          <w:szCs w:val="24"/>
        </w:rPr>
        <w:t xml:space="preserve">Krajowej Administracji </w:t>
      </w:r>
      <w:r w:rsidRPr="001B0139">
        <w:rPr>
          <w:rFonts w:ascii="Times New Roman" w:hAnsi="Times New Roman" w:cs="Times New Roman"/>
          <w:color w:val="000000" w:themeColor="text1"/>
          <w:sz w:val="24"/>
          <w:szCs w:val="24"/>
        </w:rPr>
        <w:t>Skarbowej;</w:t>
      </w:r>
    </w:p>
    <w:p w:rsidR="00A94BA9" w:rsidRPr="001B0139" w:rsidRDefault="00A94BA9" w:rsidP="00430983">
      <w:pPr>
        <w:pStyle w:val="Akapitzlist"/>
        <w:numPr>
          <w:ilvl w:val="0"/>
          <w:numId w:val="1"/>
        </w:numPr>
        <w:spacing w:line="360" w:lineRule="auto"/>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uprawnienia, o którym mowa w art. 27 rozporządzenia 2017/2226, tj. zidentyfikowania obywatela państwa trzeciego, który mógł zostać uprzednio zarejestrowany w EES </w:t>
      </w:r>
      <w:r w:rsidR="00E034A4" w:rsidRPr="001B0139">
        <w:rPr>
          <w:rFonts w:ascii="Times New Roman" w:hAnsi="Times New Roman" w:cs="Times New Roman"/>
          <w:color w:val="000000" w:themeColor="text1"/>
          <w:sz w:val="24"/>
          <w:szCs w:val="24"/>
        </w:rPr>
        <w:t>pod </w:t>
      </w:r>
      <w:r w:rsidRPr="001B0139">
        <w:rPr>
          <w:rFonts w:ascii="Times New Roman" w:hAnsi="Times New Roman" w:cs="Times New Roman"/>
          <w:color w:val="000000" w:themeColor="text1"/>
          <w:sz w:val="24"/>
          <w:szCs w:val="24"/>
        </w:rPr>
        <w:t xml:space="preserve">inną tożsamością lub który nie spełnia warunków wjazdu lub pobytu na terytorium państw członkowskich lub przestał spełniać te warunki. W związku z graniczno-migracyjnym charakterem ww. czynności, uprawnienie to będzie przysługiwać Straży Granicznej, wojewodzie, Szefowi Urzędu do Spraw Cudzoziemców, Policji </w:t>
      </w:r>
      <w:r w:rsidR="00075A33" w:rsidRPr="001B0139">
        <w:rPr>
          <w:rFonts w:ascii="Times New Roman" w:hAnsi="Times New Roman" w:cs="Times New Roman"/>
          <w:color w:val="000000" w:themeColor="text1"/>
          <w:sz w:val="24"/>
          <w:szCs w:val="24"/>
        </w:rPr>
        <w:t xml:space="preserve">i </w:t>
      </w:r>
      <w:r w:rsidR="00DF064D">
        <w:rPr>
          <w:rFonts w:ascii="Times New Roman" w:hAnsi="Times New Roman" w:cs="Times New Roman"/>
          <w:color w:val="000000" w:themeColor="text1"/>
          <w:sz w:val="24"/>
          <w:szCs w:val="24"/>
        </w:rPr>
        <w:t xml:space="preserve">Krajowej Administracji </w:t>
      </w:r>
      <w:r w:rsidRPr="001B0139">
        <w:rPr>
          <w:rFonts w:ascii="Times New Roman" w:hAnsi="Times New Roman" w:cs="Times New Roman"/>
          <w:color w:val="000000" w:themeColor="text1"/>
          <w:sz w:val="24"/>
          <w:szCs w:val="24"/>
        </w:rPr>
        <w:t>Skarbowej.</w:t>
      </w:r>
    </w:p>
    <w:p w:rsidR="00A94BA9" w:rsidRPr="001B0139" w:rsidRDefault="00A94BA9"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 xml:space="preserve">Projektowana ustawa zobowiązuje organy wprowadzające dane do Systemu </w:t>
      </w:r>
      <w:r w:rsidR="00E034A4" w:rsidRPr="001B0139">
        <w:rPr>
          <w:rFonts w:ascii="Times New Roman" w:eastAsiaTheme="minorHAnsi" w:hAnsi="Times New Roman" w:cs="Times New Roman"/>
          <w:color w:val="000000" w:themeColor="text1"/>
          <w:sz w:val="24"/>
          <w:szCs w:val="24"/>
          <w:lang w:eastAsia="en-US"/>
        </w:rPr>
        <w:t>do </w:t>
      </w:r>
      <w:r w:rsidRPr="001B0139">
        <w:rPr>
          <w:rFonts w:ascii="Times New Roman" w:eastAsiaTheme="minorHAnsi" w:hAnsi="Times New Roman" w:cs="Times New Roman"/>
          <w:color w:val="000000" w:themeColor="text1"/>
          <w:sz w:val="24"/>
          <w:szCs w:val="24"/>
          <w:lang w:eastAsia="en-US"/>
        </w:rPr>
        <w:t>zapewnienia wysokiej jakości danych</w:t>
      </w:r>
      <w:r w:rsidR="00075A33" w:rsidRPr="001B0139">
        <w:rPr>
          <w:rFonts w:ascii="Times New Roman" w:eastAsiaTheme="minorHAnsi" w:hAnsi="Times New Roman" w:cs="Times New Roman"/>
          <w:color w:val="000000" w:themeColor="text1"/>
          <w:sz w:val="24"/>
          <w:szCs w:val="24"/>
          <w:lang w:eastAsia="en-US"/>
        </w:rPr>
        <w:t>,</w:t>
      </w:r>
      <w:r w:rsidRPr="001B0139">
        <w:rPr>
          <w:rFonts w:ascii="Times New Roman" w:eastAsiaTheme="minorHAnsi" w:hAnsi="Times New Roman" w:cs="Times New Roman"/>
          <w:color w:val="000000" w:themeColor="text1"/>
          <w:sz w:val="24"/>
          <w:szCs w:val="24"/>
          <w:lang w:eastAsia="en-US"/>
        </w:rPr>
        <w:t xml:space="preserve"> rozumianej jako ich </w:t>
      </w:r>
      <w:r w:rsidR="00E034A4" w:rsidRPr="001B0139">
        <w:rPr>
          <w:rFonts w:ascii="Times New Roman" w:eastAsiaTheme="minorHAnsi" w:hAnsi="Times New Roman" w:cs="Times New Roman"/>
          <w:color w:val="000000" w:themeColor="text1"/>
          <w:sz w:val="24"/>
          <w:szCs w:val="24"/>
          <w:lang w:eastAsia="en-US"/>
        </w:rPr>
        <w:t>zgodność z prawem, dokładność i </w:t>
      </w:r>
      <w:r w:rsidRPr="001B0139">
        <w:rPr>
          <w:rFonts w:ascii="Times New Roman" w:eastAsiaTheme="minorHAnsi" w:hAnsi="Times New Roman" w:cs="Times New Roman"/>
          <w:color w:val="000000" w:themeColor="text1"/>
          <w:sz w:val="24"/>
          <w:szCs w:val="24"/>
          <w:lang w:eastAsia="en-US"/>
        </w:rPr>
        <w:t xml:space="preserve">aktualność, do czego zobowiązuje państwa członkowskie art. 39 rozporządzenia 2017/2226. Ponadto, w </w:t>
      </w:r>
      <w:r w:rsidRPr="001B0139">
        <w:rPr>
          <w:rFonts w:ascii="Times New Roman" w:eastAsiaTheme="minorHAnsi" w:hAnsi="Times New Roman" w:cs="Times New Roman"/>
          <w:color w:val="000000" w:themeColor="text1"/>
          <w:sz w:val="24"/>
          <w:szCs w:val="24"/>
          <w:lang w:eastAsia="en-US"/>
        </w:rPr>
        <w:lastRenderedPageBreak/>
        <w:t>razie potrzeby dane zgromadzone w Systemie powinny być sprostowane, uzupełnione lub usunięte zgodnie z procedurami</w:t>
      </w:r>
      <w:r w:rsidR="003F120A" w:rsidRPr="001B0139">
        <w:rPr>
          <w:rFonts w:ascii="Times New Roman" w:eastAsiaTheme="minorHAnsi" w:hAnsi="Times New Roman" w:cs="Times New Roman"/>
          <w:color w:val="000000" w:themeColor="text1"/>
          <w:sz w:val="24"/>
          <w:szCs w:val="24"/>
          <w:lang w:eastAsia="en-US"/>
        </w:rPr>
        <w:t>,</w:t>
      </w:r>
      <w:r w:rsidRPr="001B0139">
        <w:rPr>
          <w:rFonts w:ascii="Times New Roman" w:eastAsiaTheme="minorHAnsi" w:hAnsi="Times New Roman" w:cs="Times New Roman"/>
          <w:color w:val="000000" w:themeColor="text1"/>
          <w:sz w:val="24"/>
          <w:szCs w:val="24"/>
          <w:lang w:eastAsia="en-US"/>
        </w:rPr>
        <w:t xml:space="preserve"> o których mowa w art. 35 rozporządzenia. </w:t>
      </w:r>
      <w:r w:rsidR="007E29F7" w:rsidRPr="001B0139">
        <w:rPr>
          <w:rFonts w:ascii="Times New Roman" w:eastAsiaTheme="minorHAnsi" w:hAnsi="Times New Roman" w:cs="Times New Roman"/>
          <w:color w:val="000000" w:themeColor="text1"/>
          <w:sz w:val="24"/>
          <w:szCs w:val="24"/>
          <w:lang w:eastAsia="en-US"/>
        </w:rPr>
        <w:t>O</w:t>
      </w:r>
      <w:r w:rsidRPr="001B0139">
        <w:rPr>
          <w:rFonts w:ascii="Times New Roman" w:eastAsiaTheme="minorHAnsi" w:hAnsi="Times New Roman" w:cs="Times New Roman"/>
          <w:color w:val="000000" w:themeColor="text1"/>
          <w:sz w:val="24"/>
          <w:szCs w:val="24"/>
          <w:lang w:eastAsia="en-US"/>
        </w:rPr>
        <w:t xml:space="preserve">bowiązek ten </w:t>
      </w:r>
      <w:r w:rsidR="007E29F7" w:rsidRPr="001B0139">
        <w:rPr>
          <w:rFonts w:ascii="Times New Roman" w:eastAsiaTheme="minorHAnsi" w:hAnsi="Times New Roman" w:cs="Times New Roman"/>
          <w:color w:val="000000" w:themeColor="text1"/>
          <w:sz w:val="24"/>
          <w:szCs w:val="24"/>
          <w:lang w:eastAsia="en-US"/>
        </w:rPr>
        <w:t>będzie dotyczył</w:t>
      </w:r>
      <w:r w:rsidRPr="001B0139">
        <w:rPr>
          <w:rFonts w:ascii="Times New Roman" w:eastAsiaTheme="minorHAnsi" w:hAnsi="Times New Roman" w:cs="Times New Roman"/>
          <w:color w:val="000000" w:themeColor="text1"/>
          <w:sz w:val="24"/>
          <w:szCs w:val="24"/>
          <w:lang w:eastAsia="en-US"/>
        </w:rPr>
        <w:t xml:space="preserve"> organ</w:t>
      </w:r>
      <w:r w:rsidR="007E29F7" w:rsidRPr="001B0139">
        <w:rPr>
          <w:rFonts w:ascii="Times New Roman" w:eastAsiaTheme="minorHAnsi" w:hAnsi="Times New Roman" w:cs="Times New Roman"/>
          <w:color w:val="000000" w:themeColor="text1"/>
          <w:sz w:val="24"/>
          <w:szCs w:val="24"/>
          <w:lang w:eastAsia="en-US"/>
        </w:rPr>
        <w:t>ów</w:t>
      </w:r>
      <w:r w:rsidRPr="001B0139">
        <w:rPr>
          <w:rFonts w:ascii="Times New Roman" w:eastAsiaTheme="minorHAnsi" w:hAnsi="Times New Roman" w:cs="Times New Roman"/>
          <w:color w:val="000000" w:themeColor="text1"/>
          <w:sz w:val="24"/>
          <w:szCs w:val="24"/>
          <w:lang w:eastAsia="en-US"/>
        </w:rPr>
        <w:t xml:space="preserve"> uprawnion</w:t>
      </w:r>
      <w:r w:rsidR="007E29F7" w:rsidRPr="001B0139">
        <w:rPr>
          <w:rFonts w:ascii="Times New Roman" w:eastAsiaTheme="minorHAnsi" w:hAnsi="Times New Roman" w:cs="Times New Roman"/>
          <w:color w:val="000000" w:themeColor="text1"/>
          <w:sz w:val="24"/>
          <w:szCs w:val="24"/>
          <w:lang w:eastAsia="en-US"/>
        </w:rPr>
        <w:t>ych,</w:t>
      </w:r>
      <w:r w:rsidRPr="001B0139">
        <w:rPr>
          <w:rFonts w:ascii="Times New Roman" w:eastAsiaTheme="minorHAnsi" w:hAnsi="Times New Roman" w:cs="Times New Roman"/>
          <w:color w:val="000000" w:themeColor="text1"/>
          <w:sz w:val="24"/>
          <w:szCs w:val="24"/>
          <w:lang w:eastAsia="en-US"/>
        </w:rPr>
        <w:t xml:space="preserve"> </w:t>
      </w:r>
      <w:r w:rsidR="007E29F7" w:rsidRPr="001B0139">
        <w:rPr>
          <w:rFonts w:ascii="Times New Roman" w:eastAsiaTheme="minorHAnsi" w:hAnsi="Times New Roman" w:cs="Times New Roman"/>
          <w:color w:val="000000" w:themeColor="text1"/>
          <w:sz w:val="24"/>
          <w:szCs w:val="24"/>
          <w:lang w:eastAsia="en-US"/>
        </w:rPr>
        <w:t>zgodnie z</w:t>
      </w:r>
      <w:r w:rsidR="00E034A4" w:rsidRPr="001B0139">
        <w:rPr>
          <w:rFonts w:ascii="Times New Roman" w:eastAsiaTheme="minorHAnsi" w:hAnsi="Times New Roman" w:cs="Times New Roman"/>
          <w:color w:val="000000" w:themeColor="text1"/>
          <w:sz w:val="24"/>
          <w:szCs w:val="24"/>
          <w:lang w:eastAsia="en-US"/>
        </w:rPr>
        <w:t> </w:t>
      </w:r>
      <w:r w:rsidRPr="001B0139">
        <w:rPr>
          <w:rFonts w:ascii="Times New Roman" w:eastAsiaTheme="minorHAnsi" w:hAnsi="Times New Roman" w:cs="Times New Roman"/>
          <w:color w:val="000000" w:themeColor="text1"/>
          <w:sz w:val="24"/>
          <w:szCs w:val="24"/>
          <w:lang w:eastAsia="en-US"/>
        </w:rPr>
        <w:t>art. 3</w:t>
      </w:r>
      <w:r w:rsidR="00E034A4" w:rsidRPr="001B0139">
        <w:rPr>
          <w:rFonts w:ascii="Times New Roman" w:eastAsiaTheme="minorHAnsi" w:hAnsi="Times New Roman" w:cs="Times New Roman"/>
          <w:color w:val="000000" w:themeColor="text1"/>
          <w:sz w:val="24"/>
          <w:szCs w:val="24"/>
          <w:lang w:eastAsia="en-US"/>
        </w:rPr>
        <w:t xml:space="preserve"> rozporządzenia</w:t>
      </w:r>
      <w:r w:rsidR="007E29F7" w:rsidRPr="001B0139">
        <w:rPr>
          <w:rFonts w:ascii="Times New Roman" w:eastAsiaTheme="minorHAnsi" w:hAnsi="Times New Roman" w:cs="Times New Roman"/>
          <w:color w:val="000000" w:themeColor="text1"/>
          <w:sz w:val="24"/>
          <w:szCs w:val="24"/>
          <w:lang w:eastAsia="en-US"/>
        </w:rPr>
        <w:t>,</w:t>
      </w:r>
      <w:r w:rsidR="00E034A4" w:rsidRPr="001B0139">
        <w:rPr>
          <w:rFonts w:ascii="Times New Roman" w:eastAsiaTheme="minorHAnsi" w:hAnsi="Times New Roman" w:cs="Times New Roman"/>
          <w:color w:val="000000" w:themeColor="text1"/>
          <w:sz w:val="24"/>
          <w:szCs w:val="24"/>
          <w:lang w:eastAsia="en-US"/>
        </w:rPr>
        <w:t xml:space="preserve"> do </w:t>
      </w:r>
      <w:r w:rsidRPr="001B0139">
        <w:rPr>
          <w:rFonts w:ascii="Times New Roman" w:eastAsiaTheme="minorHAnsi" w:hAnsi="Times New Roman" w:cs="Times New Roman"/>
          <w:color w:val="000000" w:themeColor="text1"/>
          <w:sz w:val="24"/>
          <w:szCs w:val="24"/>
          <w:lang w:eastAsia="en-US"/>
        </w:rPr>
        <w:t>wprowadzania oraz modyfikowania danych, tj. Straż</w:t>
      </w:r>
      <w:r w:rsidR="007E29F7" w:rsidRPr="001B0139">
        <w:rPr>
          <w:rFonts w:ascii="Times New Roman" w:eastAsiaTheme="minorHAnsi" w:hAnsi="Times New Roman" w:cs="Times New Roman"/>
          <w:color w:val="000000" w:themeColor="text1"/>
          <w:sz w:val="24"/>
          <w:szCs w:val="24"/>
          <w:lang w:eastAsia="en-US"/>
        </w:rPr>
        <w:t>y</w:t>
      </w:r>
      <w:r w:rsidRPr="001B0139">
        <w:rPr>
          <w:rFonts w:ascii="Times New Roman" w:eastAsiaTheme="minorHAnsi" w:hAnsi="Times New Roman" w:cs="Times New Roman"/>
          <w:color w:val="000000" w:themeColor="text1"/>
          <w:sz w:val="24"/>
          <w:szCs w:val="24"/>
          <w:lang w:eastAsia="en-US"/>
        </w:rPr>
        <w:t xml:space="preserve"> Graniczn</w:t>
      </w:r>
      <w:r w:rsidR="007E29F7" w:rsidRPr="001B0139">
        <w:rPr>
          <w:rFonts w:ascii="Times New Roman" w:eastAsiaTheme="minorHAnsi" w:hAnsi="Times New Roman" w:cs="Times New Roman"/>
          <w:color w:val="000000" w:themeColor="text1"/>
          <w:sz w:val="24"/>
          <w:szCs w:val="24"/>
          <w:lang w:eastAsia="en-US"/>
        </w:rPr>
        <w:t>ej</w:t>
      </w:r>
      <w:r w:rsidRPr="001B0139">
        <w:rPr>
          <w:rFonts w:ascii="Times New Roman" w:eastAsiaTheme="minorHAnsi" w:hAnsi="Times New Roman" w:cs="Times New Roman"/>
          <w:color w:val="000000" w:themeColor="text1"/>
          <w:sz w:val="24"/>
          <w:szCs w:val="24"/>
          <w:lang w:eastAsia="en-US"/>
        </w:rPr>
        <w:t>, wojewod</w:t>
      </w:r>
      <w:r w:rsidR="007E29F7" w:rsidRPr="001B0139">
        <w:rPr>
          <w:rFonts w:ascii="Times New Roman" w:eastAsiaTheme="minorHAnsi" w:hAnsi="Times New Roman" w:cs="Times New Roman"/>
          <w:color w:val="000000" w:themeColor="text1"/>
          <w:sz w:val="24"/>
          <w:szCs w:val="24"/>
          <w:lang w:eastAsia="en-US"/>
        </w:rPr>
        <w:t>y</w:t>
      </w:r>
      <w:r w:rsidRPr="001B0139">
        <w:rPr>
          <w:rFonts w:ascii="Times New Roman" w:eastAsiaTheme="minorHAnsi" w:hAnsi="Times New Roman" w:cs="Times New Roman"/>
          <w:color w:val="000000" w:themeColor="text1"/>
          <w:sz w:val="24"/>
          <w:szCs w:val="24"/>
          <w:lang w:eastAsia="en-US"/>
        </w:rPr>
        <w:t>, Szef</w:t>
      </w:r>
      <w:r w:rsidR="007E29F7" w:rsidRPr="001B0139">
        <w:rPr>
          <w:rFonts w:ascii="Times New Roman" w:eastAsiaTheme="minorHAnsi" w:hAnsi="Times New Roman" w:cs="Times New Roman"/>
          <w:color w:val="000000" w:themeColor="text1"/>
          <w:sz w:val="24"/>
          <w:szCs w:val="24"/>
          <w:lang w:eastAsia="en-US"/>
        </w:rPr>
        <w:t>a</w:t>
      </w:r>
      <w:r w:rsidR="00E034A4" w:rsidRPr="001B0139">
        <w:rPr>
          <w:rFonts w:ascii="Times New Roman" w:eastAsiaTheme="minorHAnsi" w:hAnsi="Times New Roman" w:cs="Times New Roman"/>
          <w:color w:val="000000" w:themeColor="text1"/>
          <w:sz w:val="24"/>
          <w:szCs w:val="24"/>
          <w:lang w:eastAsia="en-US"/>
        </w:rPr>
        <w:t xml:space="preserve"> Urzędu do </w:t>
      </w:r>
      <w:r w:rsidRPr="001B0139">
        <w:rPr>
          <w:rFonts w:ascii="Times New Roman" w:eastAsiaTheme="minorHAnsi" w:hAnsi="Times New Roman" w:cs="Times New Roman"/>
          <w:color w:val="000000" w:themeColor="text1"/>
          <w:sz w:val="24"/>
          <w:szCs w:val="24"/>
          <w:lang w:eastAsia="en-US"/>
        </w:rPr>
        <w:t>Spraw Cudzoziemców, konsul</w:t>
      </w:r>
      <w:r w:rsidR="007E29F7" w:rsidRPr="001B0139">
        <w:rPr>
          <w:rFonts w:ascii="Times New Roman" w:eastAsiaTheme="minorHAnsi" w:hAnsi="Times New Roman" w:cs="Times New Roman"/>
          <w:color w:val="000000" w:themeColor="text1"/>
          <w:sz w:val="24"/>
          <w:szCs w:val="24"/>
          <w:lang w:eastAsia="en-US"/>
        </w:rPr>
        <w:t>a</w:t>
      </w:r>
      <w:r w:rsidRPr="001B0139">
        <w:rPr>
          <w:rFonts w:ascii="Times New Roman" w:eastAsiaTheme="minorHAnsi" w:hAnsi="Times New Roman" w:cs="Times New Roman"/>
          <w:color w:val="000000" w:themeColor="text1"/>
          <w:sz w:val="24"/>
          <w:szCs w:val="24"/>
          <w:lang w:eastAsia="en-US"/>
        </w:rPr>
        <w:t xml:space="preserve"> oraz ministr</w:t>
      </w:r>
      <w:r w:rsidR="007E29F7" w:rsidRPr="001B0139">
        <w:rPr>
          <w:rFonts w:ascii="Times New Roman" w:eastAsiaTheme="minorHAnsi" w:hAnsi="Times New Roman" w:cs="Times New Roman"/>
          <w:color w:val="000000" w:themeColor="text1"/>
          <w:sz w:val="24"/>
          <w:szCs w:val="24"/>
          <w:lang w:eastAsia="en-US"/>
        </w:rPr>
        <w:t>a</w:t>
      </w:r>
      <w:r w:rsidRPr="001B0139">
        <w:rPr>
          <w:rFonts w:ascii="Times New Roman" w:eastAsiaTheme="minorHAnsi" w:hAnsi="Times New Roman" w:cs="Times New Roman"/>
          <w:color w:val="000000" w:themeColor="text1"/>
          <w:sz w:val="24"/>
          <w:szCs w:val="24"/>
          <w:lang w:eastAsia="en-US"/>
        </w:rPr>
        <w:t xml:space="preserve"> właściw</w:t>
      </w:r>
      <w:r w:rsidR="007E29F7" w:rsidRPr="001B0139">
        <w:rPr>
          <w:rFonts w:ascii="Times New Roman" w:eastAsiaTheme="minorHAnsi" w:hAnsi="Times New Roman" w:cs="Times New Roman"/>
          <w:color w:val="000000" w:themeColor="text1"/>
          <w:sz w:val="24"/>
          <w:szCs w:val="24"/>
          <w:lang w:eastAsia="en-US"/>
        </w:rPr>
        <w:t>ego</w:t>
      </w:r>
      <w:r w:rsidRPr="001B0139">
        <w:rPr>
          <w:rFonts w:ascii="Times New Roman" w:eastAsiaTheme="minorHAnsi" w:hAnsi="Times New Roman" w:cs="Times New Roman"/>
          <w:color w:val="000000" w:themeColor="text1"/>
          <w:sz w:val="24"/>
          <w:szCs w:val="24"/>
          <w:lang w:eastAsia="en-US"/>
        </w:rPr>
        <w:t xml:space="preserve"> do spraw zagranicznych.</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Przyznanie Krajowej Jednostce ETIAS dostępu do danych EES ma na celu umożliwienie jej wykonywania zadań określonych w art. 25b rozporządzenia Parlamentu Europejskiego i Rady (UE) 2018/1240 z dnia 12 września 2018 r. ustanawiającego europejski system informacji o podróży oraz zezwoleń na podróż (ETIAS) i zmieniające rozporządzenia (UE) nr 1077/2011, (UE) nr 515/2014, (UE) 2016/399, (UE) 2016/1624 i (UE) 2017/2226, tj. wglądu do danych EES w celu analizowania i podejmowania decyzji w sprawie wniosków o zezwolenie na podróż. Z powodu umiejscowienia Krajowej Jednost</w:t>
      </w:r>
      <w:r w:rsidR="008466AE">
        <w:rPr>
          <w:rFonts w:ascii="Times New Roman" w:eastAsiaTheme="minorHAnsi" w:hAnsi="Times New Roman" w:cs="Times New Roman"/>
          <w:color w:val="000000" w:themeColor="text1"/>
          <w:sz w:val="24"/>
          <w:szCs w:val="24"/>
          <w:lang w:eastAsia="en-US"/>
        </w:rPr>
        <w:t>ki</w:t>
      </w:r>
      <w:r w:rsidRPr="001B0139">
        <w:rPr>
          <w:rFonts w:ascii="Times New Roman" w:eastAsiaTheme="minorHAnsi" w:hAnsi="Times New Roman" w:cs="Times New Roman"/>
          <w:color w:val="000000" w:themeColor="text1"/>
          <w:sz w:val="24"/>
          <w:szCs w:val="24"/>
          <w:lang w:eastAsia="en-US"/>
        </w:rPr>
        <w:t xml:space="preserve"> ETIAS w Straży Granicznej, uprawnienie to </w:t>
      </w:r>
      <w:r w:rsidR="008466AE">
        <w:rPr>
          <w:rFonts w:ascii="Times New Roman" w:eastAsiaTheme="minorHAnsi" w:hAnsi="Times New Roman" w:cs="Times New Roman"/>
          <w:color w:val="000000" w:themeColor="text1"/>
          <w:sz w:val="24"/>
          <w:szCs w:val="24"/>
          <w:lang w:eastAsia="en-US"/>
        </w:rPr>
        <w:t>zostanie przyznane</w:t>
      </w:r>
      <w:r w:rsidR="008466AE" w:rsidRPr="001B0139">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S</w:t>
      </w:r>
      <w:r w:rsidR="008466AE">
        <w:rPr>
          <w:rFonts w:ascii="Times New Roman" w:eastAsiaTheme="minorHAnsi" w:hAnsi="Times New Roman" w:cs="Times New Roman"/>
          <w:color w:val="000000" w:themeColor="text1"/>
          <w:sz w:val="24"/>
          <w:szCs w:val="24"/>
          <w:lang w:eastAsia="en-US"/>
        </w:rPr>
        <w:t xml:space="preserve">traży </w:t>
      </w:r>
      <w:r w:rsidRPr="001B0139">
        <w:rPr>
          <w:rFonts w:ascii="Times New Roman" w:eastAsiaTheme="minorHAnsi" w:hAnsi="Times New Roman" w:cs="Times New Roman"/>
          <w:color w:val="000000" w:themeColor="text1"/>
          <w:sz w:val="24"/>
          <w:szCs w:val="24"/>
          <w:lang w:eastAsia="en-US"/>
        </w:rPr>
        <w:t>G</w:t>
      </w:r>
      <w:r w:rsidR="008466AE">
        <w:rPr>
          <w:rFonts w:ascii="Times New Roman" w:eastAsiaTheme="minorHAnsi" w:hAnsi="Times New Roman" w:cs="Times New Roman"/>
          <w:color w:val="000000" w:themeColor="text1"/>
          <w:sz w:val="24"/>
          <w:szCs w:val="24"/>
          <w:lang w:eastAsia="en-US"/>
        </w:rPr>
        <w:t>ranicznej</w:t>
      </w:r>
      <w:r w:rsidRPr="001B0139">
        <w:rPr>
          <w:rFonts w:ascii="Times New Roman" w:eastAsiaTheme="minorHAnsi" w:hAnsi="Times New Roman" w:cs="Times New Roman"/>
          <w:color w:val="000000" w:themeColor="text1"/>
          <w:sz w:val="24"/>
          <w:szCs w:val="24"/>
          <w:lang w:eastAsia="en-US"/>
        </w:rPr>
        <w:t>.</w:t>
      </w:r>
    </w:p>
    <w:p w:rsidR="00E034A4" w:rsidRPr="001B0139" w:rsidRDefault="00E034A4" w:rsidP="008466AE">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Katalog wymienionych organów został uzupełniony o ministra właściwego do spraw informatyzacji, w związku z wydawaniem przez ten organ obywatelom Ukrainy objętym ochroną czasową w Polsce cyfrowych dokumentów (diaa.pl), o których mowa w art. 10 ust. 1 pkt 1 ustawy z dnia 12 marca 2022 r. o pomocy obywatelom Ukrainy w związku z konfliktem zbrojnym na terytorium tego państwa (Dz.</w:t>
      </w:r>
      <w:r w:rsidR="008466AE">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U. z 2024 r. poz. 167, z późn. zm.), które mają charakter dokumentów pobytowych</w:t>
      </w:r>
      <w:r w:rsidR="008466AE">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 xml:space="preserve"> w celu usunięcia danych </w:t>
      </w:r>
      <w:r w:rsidR="008466AE" w:rsidRPr="001B0139">
        <w:rPr>
          <w:rFonts w:ascii="Times New Roman" w:eastAsiaTheme="minorHAnsi" w:hAnsi="Times New Roman" w:cs="Times New Roman"/>
          <w:color w:val="000000" w:themeColor="text1"/>
          <w:sz w:val="24"/>
          <w:szCs w:val="24"/>
          <w:lang w:eastAsia="en-US"/>
        </w:rPr>
        <w:t>t</w:t>
      </w:r>
      <w:r w:rsidR="008466AE">
        <w:rPr>
          <w:rFonts w:ascii="Times New Roman" w:eastAsiaTheme="minorHAnsi" w:hAnsi="Times New Roman" w:cs="Times New Roman"/>
          <w:color w:val="000000" w:themeColor="text1"/>
          <w:sz w:val="24"/>
          <w:szCs w:val="24"/>
          <w:lang w:eastAsia="en-US"/>
        </w:rPr>
        <w:t>ych</w:t>
      </w:r>
      <w:r w:rsidR="008466AE" w:rsidRPr="001B0139">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obywatel</w:t>
      </w:r>
      <w:r w:rsidR="008466AE">
        <w:rPr>
          <w:rFonts w:ascii="Times New Roman" w:eastAsiaTheme="minorHAnsi" w:hAnsi="Times New Roman" w:cs="Times New Roman"/>
          <w:color w:val="000000" w:themeColor="text1"/>
          <w:sz w:val="24"/>
          <w:szCs w:val="24"/>
          <w:lang w:eastAsia="en-US"/>
        </w:rPr>
        <w:t>i</w:t>
      </w:r>
      <w:r w:rsidRPr="001B0139">
        <w:rPr>
          <w:rFonts w:ascii="Times New Roman" w:eastAsiaTheme="minorHAnsi" w:hAnsi="Times New Roman" w:cs="Times New Roman"/>
          <w:color w:val="000000" w:themeColor="text1"/>
          <w:sz w:val="24"/>
          <w:szCs w:val="24"/>
          <w:lang w:eastAsia="en-US"/>
        </w:rPr>
        <w:t xml:space="preserve"> z EES</w:t>
      </w:r>
      <w:r w:rsidR="008466AE">
        <w:rPr>
          <w:rFonts w:ascii="Times New Roman" w:eastAsiaTheme="minorHAnsi" w:hAnsi="Times New Roman" w:cs="Times New Roman"/>
          <w:color w:val="000000" w:themeColor="text1"/>
          <w:sz w:val="24"/>
          <w:szCs w:val="24"/>
          <w:lang w:eastAsia="en-US"/>
        </w:rPr>
        <w:t>,</w:t>
      </w:r>
      <w:r w:rsidRPr="001B0139">
        <w:rPr>
          <w:rFonts w:ascii="Times New Roman" w:eastAsiaTheme="minorHAnsi" w:hAnsi="Times New Roman" w:cs="Times New Roman"/>
          <w:color w:val="000000" w:themeColor="text1"/>
          <w:sz w:val="24"/>
          <w:szCs w:val="24"/>
          <w:lang w:eastAsia="en-US"/>
        </w:rPr>
        <w:t xml:space="preserve"> zgodnie z art. 35 ust. 2 w zw. z art. 2 ust. 3 rozporządzenia. </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Dokumenty te zostały notyfikowane K</w:t>
      </w:r>
      <w:r w:rsidR="00F82111">
        <w:rPr>
          <w:rFonts w:ascii="Times New Roman" w:eastAsiaTheme="minorHAnsi" w:hAnsi="Times New Roman" w:cs="Times New Roman"/>
          <w:color w:val="000000" w:themeColor="text1"/>
          <w:sz w:val="24"/>
          <w:szCs w:val="24"/>
          <w:lang w:eastAsia="en-US"/>
        </w:rPr>
        <w:t xml:space="preserve">omisji </w:t>
      </w:r>
      <w:r w:rsidRPr="001B0139">
        <w:rPr>
          <w:rFonts w:ascii="Times New Roman" w:eastAsiaTheme="minorHAnsi" w:hAnsi="Times New Roman" w:cs="Times New Roman"/>
          <w:color w:val="000000" w:themeColor="text1"/>
          <w:sz w:val="24"/>
          <w:szCs w:val="24"/>
          <w:lang w:eastAsia="en-US"/>
        </w:rPr>
        <w:t>E</w:t>
      </w:r>
      <w:r w:rsidR="00F82111">
        <w:rPr>
          <w:rFonts w:ascii="Times New Roman" w:eastAsiaTheme="minorHAnsi" w:hAnsi="Times New Roman" w:cs="Times New Roman"/>
          <w:color w:val="000000" w:themeColor="text1"/>
          <w:sz w:val="24"/>
          <w:szCs w:val="24"/>
          <w:lang w:eastAsia="en-US"/>
        </w:rPr>
        <w:t>uropejskiej</w:t>
      </w:r>
      <w:r w:rsidRPr="001B0139">
        <w:rPr>
          <w:rFonts w:ascii="Times New Roman" w:eastAsiaTheme="minorHAnsi" w:hAnsi="Times New Roman" w:cs="Times New Roman"/>
          <w:color w:val="000000" w:themeColor="text1"/>
          <w:sz w:val="24"/>
          <w:szCs w:val="24"/>
          <w:lang w:eastAsia="en-US"/>
        </w:rPr>
        <w:t xml:space="preserve"> jako dokumenty pobytowe w</w:t>
      </w:r>
      <w:r w:rsidR="00F82111">
        <w:rPr>
          <w:rFonts w:ascii="Times New Roman" w:eastAsiaTheme="minorHAnsi" w:hAnsi="Times New Roman" w:cs="Times New Roman"/>
          <w:color w:val="000000" w:themeColor="text1"/>
          <w:sz w:val="24"/>
          <w:szCs w:val="24"/>
          <w:lang w:eastAsia="en-US"/>
        </w:rPr>
        <w:t> </w:t>
      </w:r>
      <w:r w:rsidRPr="001B0139">
        <w:rPr>
          <w:rFonts w:ascii="Times New Roman" w:eastAsiaTheme="minorHAnsi" w:hAnsi="Times New Roman" w:cs="Times New Roman"/>
          <w:color w:val="000000" w:themeColor="text1"/>
          <w:sz w:val="24"/>
          <w:szCs w:val="24"/>
          <w:lang w:eastAsia="en-US"/>
        </w:rPr>
        <w:t xml:space="preserve">rozumieniu </w:t>
      </w:r>
      <w:r w:rsidR="0081332A">
        <w:rPr>
          <w:rFonts w:ascii="Times New Roman" w:eastAsiaTheme="minorHAnsi" w:hAnsi="Times New Roman" w:cs="Times New Roman"/>
          <w:color w:val="000000" w:themeColor="text1"/>
          <w:sz w:val="24"/>
          <w:szCs w:val="24"/>
          <w:lang w:eastAsia="en-US"/>
        </w:rPr>
        <w:t>k</w:t>
      </w:r>
      <w:r w:rsidRPr="001B0139">
        <w:rPr>
          <w:rFonts w:ascii="Times New Roman" w:eastAsiaTheme="minorHAnsi" w:hAnsi="Times New Roman" w:cs="Times New Roman"/>
          <w:color w:val="000000" w:themeColor="text1"/>
          <w:sz w:val="24"/>
          <w:szCs w:val="24"/>
          <w:lang w:eastAsia="en-US"/>
        </w:rPr>
        <w:t xml:space="preserve">odeksu </w:t>
      </w:r>
      <w:r w:rsidR="0081332A">
        <w:rPr>
          <w:rFonts w:ascii="Times New Roman" w:eastAsiaTheme="minorHAnsi" w:hAnsi="Times New Roman" w:cs="Times New Roman"/>
          <w:color w:val="000000" w:themeColor="text1"/>
          <w:sz w:val="24"/>
          <w:szCs w:val="24"/>
          <w:lang w:eastAsia="en-US"/>
        </w:rPr>
        <w:t>g</w:t>
      </w:r>
      <w:r w:rsidRPr="001B0139">
        <w:rPr>
          <w:rFonts w:ascii="Times New Roman" w:eastAsiaTheme="minorHAnsi" w:hAnsi="Times New Roman" w:cs="Times New Roman"/>
          <w:color w:val="000000" w:themeColor="text1"/>
          <w:sz w:val="24"/>
          <w:szCs w:val="24"/>
          <w:lang w:eastAsia="en-US"/>
        </w:rPr>
        <w:t>ranicznego Schengen.</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lastRenderedPageBreak/>
        <w:t>Diia.pl jest notyfikowana w załączniku 22 do podręcznika Schengen, jako dokument pobytowy</w:t>
      </w:r>
      <w:r w:rsidR="008466AE">
        <w:rPr>
          <w:rFonts w:ascii="Times New Roman" w:eastAsiaTheme="minorHAnsi" w:hAnsi="Times New Roman" w:cs="Times New Roman"/>
          <w:color w:val="000000" w:themeColor="text1"/>
          <w:sz w:val="24"/>
          <w:szCs w:val="24"/>
          <w:lang w:eastAsia="en-US"/>
        </w:rPr>
        <w:t>:</w:t>
      </w:r>
      <w:r w:rsidRPr="001B0139">
        <w:rPr>
          <w:rFonts w:ascii="Times New Roman" w:eastAsiaTheme="minorHAnsi" w:hAnsi="Times New Roman" w:cs="Times New Roman"/>
          <w:color w:val="000000" w:themeColor="text1"/>
          <w:sz w:val="24"/>
          <w:szCs w:val="24"/>
          <w:lang w:eastAsia="en-US"/>
        </w:rPr>
        <w:t xml:space="preserve"> https://home-affairs.ec.europa.eu/document/download/94241914-26f6-464d-be28-c601d8ded4d5_en?filename=handbook-annex-22_en_0.pdf</w:t>
      </w:r>
      <w:r w:rsidR="005132DA" w:rsidRPr="001B0139">
        <w:rPr>
          <w:rFonts w:ascii="Times New Roman" w:eastAsiaTheme="minorHAnsi" w:hAnsi="Times New Roman" w:cs="Times New Roman"/>
          <w:color w:val="000000" w:themeColor="text1"/>
          <w:sz w:val="24"/>
          <w:szCs w:val="24"/>
          <w:lang w:eastAsia="en-US"/>
        </w:rPr>
        <w:t>.</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Diia.pl służy jako potwierdzenie tożsamości użytkownika i stanowi dowód równoważny dokumentowi zgodnemu z artykułem 8 ust. 1 dyrektywy Rady 2001/55/WE z dnia 20 lipca 2001 r. w sprawie minimalnych standardów udzielania tymczasowej ochrony na wypadek masowego napływu wysiedleńców oraz środków wspierających równowagę wysiłków pomiędzy Państwami Członkowskimi w zakresie przyjmowania takich osób i ponoszenia konsekwencje i powinno być traktowane jako zezwolenie na p</w:t>
      </w:r>
      <w:r w:rsidR="00F82111">
        <w:rPr>
          <w:rFonts w:ascii="Times New Roman" w:eastAsiaTheme="minorHAnsi" w:hAnsi="Times New Roman" w:cs="Times New Roman"/>
          <w:color w:val="000000" w:themeColor="text1"/>
          <w:sz w:val="24"/>
          <w:szCs w:val="24"/>
          <w:lang w:eastAsia="en-US"/>
        </w:rPr>
        <w:t>obyt w rozumieniu art. 2 lit. g</w:t>
      </w:r>
      <w:r w:rsidRPr="001B0139">
        <w:rPr>
          <w:rFonts w:ascii="Times New Roman" w:eastAsiaTheme="minorHAnsi" w:hAnsi="Times New Roman" w:cs="Times New Roman"/>
          <w:color w:val="000000" w:themeColor="text1"/>
          <w:sz w:val="24"/>
          <w:szCs w:val="24"/>
          <w:lang w:eastAsia="en-US"/>
        </w:rPr>
        <w:t xml:space="preserve"> dyrektywy Rady 2001/55/WE.</w:t>
      </w:r>
    </w:p>
    <w:p w:rsidR="00A94BA9" w:rsidRPr="001B0139" w:rsidRDefault="00A94BA9"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 xml:space="preserve">W </w:t>
      </w:r>
      <w:r w:rsidR="00075A33" w:rsidRPr="001B0139">
        <w:rPr>
          <w:rFonts w:ascii="Times New Roman" w:eastAsiaTheme="minorHAnsi" w:hAnsi="Times New Roman" w:cs="Times New Roman"/>
          <w:color w:val="000000" w:themeColor="text1"/>
          <w:sz w:val="24"/>
          <w:szCs w:val="24"/>
          <w:lang w:eastAsia="en-US"/>
        </w:rPr>
        <w:t>projektowanym</w:t>
      </w:r>
      <w:r w:rsidRPr="001B0139">
        <w:rPr>
          <w:rFonts w:ascii="Times New Roman" w:eastAsiaTheme="minorHAnsi" w:hAnsi="Times New Roman" w:cs="Times New Roman"/>
          <w:color w:val="000000" w:themeColor="text1"/>
          <w:sz w:val="24"/>
          <w:szCs w:val="24"/>
          <w:lang w:eastAsia="en-US"/>
        </w:rPr>
        <w:t xml:space="preserve"> art. 4 określono podmioty uprawnione do pośredniego dostępu </w:t>
      </w:r>
      <w:r w:rsidR="00E034A4" w:rsidRPr="001B0139">
        <w:rPr>
          <w:rFonts w:ascii="Times New Roman" w:eastAsiaTheme="minorHAnsi" w:hAnsi="Times New Roman" w:cs="Times New Roman"/>
          <w:color w:val="000000" w:themeColor="text1"/>
          <w:sz w:val="24"/>
          <w:szCs w:val="24"/>
          <w:lang w:eastAsia="en-US"/>
        </w:rPr>
        <w:t>do </w:t>
      </w:r>
      <w:r w:rsidRPr="001B0139">
        <w:rPr>
          <w:rFonts w:ascii="Times New Roman" w:eastAsiaTheme="minorHAnsi" w:hAnsi="Times New Roman" w:cs="Times New Roman"/>
          <w:color w:val="000000" w:themeColor="text1"/>
          <w:sz w:val="24"/>
          <w:szCs w:val="24"/>
          <w:lang w:eastAsia="en-US"/>
        </w:rPr>
        <w:t>KSI EES, tj. dostępu do danych przez wyznaczone organy państw członkowskich, które zgodnie z art. 29 ust. 1 rozporządzenia 2017/2226 są upoważnione do przeglądania danych EES w celu zapobiegania przestępstwom terrorystycznym lub in</w:t>
      </w:r>
      <w:r w:rsidR="007C77BA">
        <w:rPr>
          <w:rFonts w:ascii="Times New Roman" w:eastAsiaTheme="minorHAnsi" w:hAnsi="Times New Roman" w:cs="Times New Roman"/>
          <w:color w:val="000000" w:themeColor="text1"/>
          <w:sz w:val="24"/>
          <w:szCs w:val="24"/>
          <w:lang w:eastAsia="en-US"/>
        </w:rPr>
        <w:t>nym poważnym przestępstwom, ich </w:t>
      </w:r>
      <w:r w:rsidRPr="001B0139">
        <w:rPr>
          <w:rFonts w:ascii="Times New Roman" w:eastAsiaTheme="minorHAnsi" w:hAnsi="Times New Roman" w:cs="Times New Roman"/>
          <w:color w:val="000000" w:themeColor="text1"/>
          <w:sz w:val="24"/>
          <w:szCs w:val="24"/>
          <w:lang w:eastAsia="en-US"/>
        </w:rPr>
        <w:t>wykrywania i prowadzenia w ich sprawie postępowań przygotowawczych. Dostęp taki jest możliwy w celu określonym w art. 32 ust. 2 rozporządzenia 2017/2226</w:t>
      </w:r>
      <w:r w:rsidR="007E29F7" w:rsidRPr="001B0139">
        <w:rPr>
          <w:rFonts w:ascii="Times New Roman" w:eastAsiaTheme="minorHAnsi" w:hAnsi="Times New Roman" w:cs="Times New Roman"/>
          <w:color w:val="000000" w:themeColor="text1"/>
          <w:sz w:val="24"/>
          <w:szCs w:val="24"/>
          <w:lang w:eastAsia="en-US"/>
        </w:rPr>
        <w:t>,</w:t>
      </w:r>
      <w:r w:rsidRPr="001B0139">
        <w:rPr>
          <w:rFonts w:ascii="Times New Roman" w:eastAsiaTheme="minorHAnsi" w:hAnsi="Times New Roman" w:cs="Times New Roman"/>
          <w:color w:val="000000" w:themeColor="text1"/>
          <w:sz w:val="24"/>
          <w:szCs w:val="24"/>
          <w:lang w:eastAsia="en-US"/>
        </w:rPr>
        <w:t xml:space="preserve"> tj. w celu identyfikacji nieznanej osoby podejrzanej o popełnienie przestępstwa terrorystycznego lub innego poważnego przestępstwa, nieznanego sprawcy takiego przestępstwa lub jego nieznanej domniemanej ofiary, lub w celu określonym w art. 32 ust. 3 rozporządzenia 2017/2226, tj. w celu przeglądania historii podróży lub okresów pobytu na terytorium państw członkowskich znanej osoby podejrz</w:t>
      </w:r>
      <w:r w:rsidR="009E6395" w:rsidRPr="001B0139">
        <w:rPr>
          <w:rFonts w:ascii="Times New Roman" w:eastAsiaTheme="minorHAnsi" w:hAnsi="Times New Roman" w:cs="Times New Roman"/>
          <w:color w:val="000000" w:themeColor="text1"/>
          <w:sz w:val="24"/>
          <w:szCs w:val="24"/>
          <w:lang w:eastAsia="en-US"/>
        </w:rPr>
        <w:t>ewanej</w:t>
      </w:r>
      <w:r w:rsidRPr="001B0139">
        <w:rPr>
          <w:rFonts w:ascii="Times New Roman" w:eastAsiaTheme="minorHAnsi" w:hAnsi="Times New Roman" w:cs="Times New Roman"/>
          <w:color w:val="000000" w:themeColor="text1"/>
          <w:sz w:val="24"/>
          <w:szCs w:val="24"/>
          <w:lang w:eastAsia="en-US"/>
        </w:rPr>
        <w:t xml:space="preserve"> o popełnienie przestępstwa terrorystycznego lub innego poważnego przestępstwa, znanego sprawcy takiego przestępstwa lub jego znanej domniemanej ofiary. </w:t>
      </w:r>
    </w:p>
    <w:p w:rsidR="00A94BA9" w:rsidRPr="001B0139" w:rsidRDefault="00A94BA9"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lastRenderedPageBreak/>
        <w:t xml:space="preserve">Ponieważ dostęp, o którym mowa w art. 4 projektu, </w:t>
      </w:r>
      <w:r w:rsidR="00075A33" w:rsidRPr="001B0139">
        <w:rPr>
          <w:rFonts w:ascii="Times New Roman" w:eastAsiaTheme="minorHAnsi" w:hAnsi="Times New Roman" w:cs="Times New Roman"/>
          <w:color w:val="000000" w:themeColor="text1"/>
          <w:sz w:val="24"/>
          <w:szCs w:val="24"/>
          <w:lang w:eastAsia="en-US"/>
        </w:rPr>
        <w:t xml:space="preserve">jest </w:t>
      </w:r>
      <w:r w:rsidR="00E034A4" w:rsidRPr="001B0139">
        <w:rPr>
          <w:rFonts w:ascii="Times New Roman" w:eastAsiaTheme="minorHAnsi" w:hAnsi="Times New Roman" w:cs="Times New Roman"/>
          <w:color w:val="000000" w:themeColor="text1"/>
          <w:sz w:val="24"/>
          <w:szCs w:val="24"/>
          <w:lang w:eastAsia="en-US"/>
        </w:rPr>
        <w:t>przewidziany dla </w:t>
      </w:r>
      <w:r w:rsidRPr="001B0139">
        <w:rPr>
          <w:rFonts w:ascii="Times New Roman" w:eastAsiaTheme="minorHAnsi" w:hAnsi="Times New Roman" w:cs="Times New Roman"/>
          <w:color w:val="000000" w:themeColor="text1"/>
          <w:sz w:val="24"/>
          <w:szCs w:val="24"/>
          <w:lang w:eastAsia="en-US"/>
        </w:rPr>
        <w:t xml:space="preserve">wyznaczonych organów, tj. zgodnie z definicją </w:t>
      </w:r>
      <w:r w:rsidR="00D45F1B" w:rsidRPr="001B0139">
        <w:rPr>
          <w:rFonts w:ascii="Times New Roman" w:eastAsiaTheme="minorHAnsi" w:hAnsi="Times New Roman" w:cs="Times New Roman"/>
          <w:color w:val="000000" w:themeColor="text1"/>
          <w:sz w:val="24"/>
          <w:szCs w:val="24"/>
          <w:lang w:eastAsia="en-US"/>
        </w:rPr>
        <w:t xml:space="preserve">zawartą </w:t>
      </w:r>
      <w:r w:rsidR="00F92C65" w:rsidRPr="001B0139">
        <w:rPr>
          <w:rFonts w:ascii="Times New Roman" w:eastAsiaTheme="minorHAnsi" w:hAnsi="Times New Roman" w:cs="Times New Roman"/>
          <w:color w:val="000000" w:themeColor="text1"/>
          <w:sz w:val="24"/>
          <w:szCs w:val="24"/>
          <w:lang w:eastAsia="en-US"/>
        </w:rPr>
        <w:t>w art. 3 ust 1</w:t>
      </w:r>
      <w:r w:rsidRPr="001B0139">
        <w:rPr>
          <w:rFonts w:ascii="Times New Roman" w:eastAsiaTheme="minorHAnsi" w:hAnsi="Times New Roman" w:cs="Times New Roman"/>
          <w:color w:val="000000" w:themeColor="text1"/>
          <w:sz w:val="24"/>
          <w:szCs w:val="24"/>
          <w:lang w:eastAsia="en-US"/>
        </w:rPr>
        <w:t xml:space="preserve"> pkt 26 rozporządzenia 2017/2226 – organów wyznaczonych przez państwo członkowskie jako odpowiedzialne </w:t>
      </w:r>
      <w:r w:rsidR="00E034A4" w:rsidRPr="001B0139">
        <w:rPr>
          <w:rFonts w:ascii="Times New Roman" w:eastAsiaTheme="minorHAnsi" w:hAnsi="Times New Roman" w:cs="Times New Roman"/>
          <w:color w:val="000000" w:themeColor="text1"/>
          <w:sz w:val="24"/>
          <w:szCs w:val="24"/>
          <w:lang w:eastAsia="en-US"/>
        </w:rPr>
        <w:t>za </w:t>
      </w:r>
      <w:r w:rsidRPr="001B0139">
        <w:rPr>
          <w:rFonts w:ascii="Times New Roman" w:eastAsiaTheme="minorHAnsi" w:hAnsi="Times New Roman" w:cs="Times New Roman"/>
          <w:color w:val="000000" w:themeColor="text1"/>
          <w:sz w:val="24"/>
          <w:szCs w:val="24"/>
          <w:lang w:eastAsia="en-US"/>
        </w:rPr>
        <w:t>zapobieganie przestępstwom terrorystycznym lub innym</w:t>
      </w:r>
      <w:r w:rsidR="00E034A4" w:rsidRPr="001B0139">
        <w:rPr>
          <w:rFonts w:ascii="Times New Roman" w:eastAsiaTheme="minorHAnsi" w:hAnsi="Times New Roman" w:cs="Times New Roman"/>
          <w:color w:val="000000" w:themeColor="text1"/>
          <w:sz w:val="24"/>
          <w:szCs w:val="24"/>
          <w:lang w:eastAsia="en-US"/>
        </w:rPr>
        <w:t xml:space="preserve"> poważnym przestępstwom, za ich </w:t>
      </w:r>
      <w:r w:rsidRPr="001B0139">
        <w:rPr>
          <w:rFonts w:ascii="Times New Roman" w:eastAsiaTheme="minorHAnsi" w:hAnsi="Times New Roman" w:cs="Times New Roman"/>
          <w:color w:val="000000" w:themeColor="text1"/>
          <w:sz w:val="24"/>
          <w:szCs w:val="24"/>
          <w:lang w:eastAsia="en-US"/>
        </w:rPr>
        <w:t>wykrywanie lub prowadzenie w ich sprawie postępowań pr</w:t>
      </w:r>
      <w:r w:rsidR="00E034A4" w:rsidRPr="001B0139">
        <w:rPr>
          <w:rFonts w:ascii="Times New Roman" w:eastAsiaTheme="minorHAnsi" w:hAnsi="Times New Roman" w:cs="Times New Roman"/>
          <w:color w:val="000000" w:themeColor="text1"/>
          <w:sz w:val="24"/>
          <w:szCs w:val="24"/>
          <w:lang w:eastAsia="en-US"/>
        </w:rPr>
        <w:t>zygotowawczych – uprawnienie to </w:t>
      </w:r>
      <w:r w:rsidRPr="001B0139">
        <w:rPr>
          <w:rFonts w:ascii="Times New Roman" w:eastAsiaTheme="minorHAnsi" w:hAnsi="Times New Roman" w:cs="Times New Roman"/>
          <w:color w:val="000000" w:themeColor="text1"/>
          <w:sz w:val="24"/>
          <w:szCs w:val="24"/>
          <w:lang w:eastAsia="en-US"/>
        </w:rPr>
        <w:t>przysługuje</w:t>
      </w:r>
      <w:r w:rsidR="009E6395" w:rsidRPr="001B0139">
        <w:rPr>
          <w:rFonts w:ascii="Times New Roman" w:eastAsiaTheme="minorHAnsi" w:hAnsi="Times New Roman" w:cs="Times New Roman"/>
          <w:color w:val="000000" w:themeColor="text1"/>
          <w:sz w:val="24"/>
          <w:szCs w:val="24"/>
          <w:lang w:eastAsia="en-US"/>
        </w:rPr>
        <w:t>,</w:t>
      </w:r>
      <w:r w:rsidRPr="001B0139">
        <w:rPr>
          <w:rFonts w:ascii="Times New Roman" w:eastAsiaTheme="minorHAnsi" w:hAnsi="Times New Roman" w:cs="Times New Roman"/>
          <w:color w:val="000000" w:themeColor="text1"/>
          <w:sz w:val="24"/>
          <w:szCs w:val="24"/>
          <w:lang w:eastAsia="en-US"/>
        </w:rPr>
        <w:t xml:space="preserve"> prokuraturze, </w:t>
      </w:r>
      <w:r w:rsidR="009E6395" w:rsidRPr="001B0139">
        <w:rPr>
          <w:rFonts w:ascii="Times New Roman" w:eastAsiaTheme="minorHAnsi" w:hAnsi="Times New Roman" w:cs="Times New Roman"/>
          <w:color w:val="000000" w:themeColor="text1"/>
          <w:sz w:val="24"/>
          <w:szCs w:val="24"/>
          <w:lang w:eastAsia="en-US"/>
        </w:rPr>
        <w:t xml:space="preserve">sądom, </w:t>
      </w:r>
      <w:r w:rsidRPr="001B0139">
        <w:rPr>
          <w:rFonts w:ascii="Times New Roman" w:eastAsiaTheme="minorHAnsi" w:hAnsi="Times New Roman" w:cs="Times New Roman"/>
          <w:color w:val="000000" w:themeColor="text1"/>
          <w:sz w:val="24"/>
          <w:szCs w:val="24"/>
          <w:lang w:eastAsia="en-US"/>
        </w:rPr>
        <w:t xml:space="preserve">Policji, Straży Granicznej, </w:t>
      </w:r>
      <w:r w:rsidR="00DF064D">
        <w:rPr>
          <w:rFonts w:ascii="Times New Roman" w:eastAsiaTheme="minorHAnsi" w:hAnsi="Times New Roman" w:cs="Times New Roman"/>
          <w:color w:val="000000" w:themeColor="text1"/>
          <w:sz w:val="24"/>
          <w:szCs w:val="24"/>
          <w:lang w:eastAsia="en-US"/>
        </w:rPr>
        <w:t xml:space="preserve">Krajowej Administracji </w:t>
      </w:r>
      <w:r w:rsidRPr="001B0139">
        <w:rPr>
          <w:rFonts w:ascii="Times New Roman" w:eastAsiaTheme="minorHAnsi" w:hAnsi="Times New Roman" w:cs="Times New Roman"/>
          <w:color w:val="000000" w:themeColor="text1"/>
          <w:sz w:val="24"/>
          <w:szCs w:val="24"/>
          <w:lang w:eastAsia="en-US"/>
        </w:rPr>
        <w:t xml:space="preserve">Skarbowej, Agencji Bezpieczeństwa Wewnętrznego, Agencji Wywiadu, </w:t>
      </w:r>
      <w:r w:rsidR="009E6395" w:rsidRPr="001B0139">
        <w:rPr>
          <w:rFonts w:ascii="Times New Roman" w:eastAsiaTheme="minorHAnsi" w:hAnsi="Times New Roman" w:cs="Times New Roman"/>
          <w:color w:val="000000" w:themeColor="text1"/>
          <w:sz w:val="24"/>
          <w:szCs w:val="24"/>
          <w:lang w:eastAsia="en-US"/>
        </w:rPr>
        <w:t xml:space="preserve">Centralnemu Biuru Antykorupcyjnemu, </w:t>
      </w:r>
      <w:r w:rsidRPr="001B0139">
        <w:rPr>
          <w:rFonts w:ascii="Times New Roman" w:eastAsiaTheme="minorHAnsi" w:hAnsi="Times New Roman" w:cs="Times New Roman"/>
          <w:color w:val="000000" w:themeColor="text1"/>
          <w:sz w:val="24"/>
          <w:szCs w:val="24"/>
          <w:lang w:eastAsia="en-US"/>
        </w:rPr>
        <w:t>Służbie Ochrony Państwa, Służbie Kontrwywiadu Wojskowego, Służbie Wywiadu Wojskowego lub Żandarmerii Wojskowej.</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Zgodnie z art. 32 ust. 2 rozporządzenia 2017/2226, wniosek o przeglądanie VIS w odniesieniu do tej samej osoby, której dane dotyczą, można złożyć jednocześnie z wnioskiem o dane EES, zgodnie z warunkami określonymi w decyzji Rady (WE) nr 2008/633/WSiSW.</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 xml:space="preserve">Zaproponowane brzmienie </w:t>
      </w:r>
      <w:r w:rsidR="008466AE">
        <w:rPr>
          <w:rFonts w:ascii="Times New Roman" w:eastAsiaTheme="minorHAnsi" w:hAnsi="Times New Roman" w:cs="Times New Roman"/>
          <w:color w:val="000000" w:themeColor="text1"/>
          <w:sz w:val="24"/>
          <w:szCs w:val="24"/>
          <w:lang w:eastAsia="en-US"/>
        </w:rPr>
        <w:t>przepisów</w:t>
      </w:r>
      <w:r w:rsidR="008466AE" w:rsidRPr="001B0139">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 xml:space="preserve">art. 4 ust. 4 oraz art. 23 pkt 3 projektu ustawy jest wdrożeniem przedmiotowego </w:t>
      </w:r>
      <w:r w:rsidR="008466AE">
        <w:rPr>
          <w:rFonts w:ascii="Times New Roman" w:eastAsiaTheme="minorHAnsi" w:hAnsi="Times New Roman" w:cs="Times New Roman"/>
          <w:color w:val="000000" w:themeColor="text1"/>
          <w:sz w:val="24"/>
          <w:szCs w:val="24"/>
          <w:lang w:eastAsia="en-US"/>
        </w:rPr>
        <w:t>postanowienia</w:t>
      </w:r>
      <w:r w:rsidR="008466AE" w:rsidRPr="001B0139">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rozporządzenia 2017/2226.</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Warto zaznaczyć, iż możliwość złożenia jednoczesnego wniosku o dane VIS istnieje tylko w przypadku wnioskowania do EES w celu identyfikacji nieznanej osoby podejrzanej o popełnienie przestępstwa terrorystycznego lub innego poważnego przestępstwa, nieznanego sprawcy takiego przestępstwa lub jego nieznanej domniemanej ofiary.</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Zgodnie z art. 32 ust. 4 rozporządzenia 2017/2226 wyszukania w EES do celów identyfikacji można dokonać tylko według danych daktyloskopijnych i wizerunków twarzy.</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Podkreślenia wymaga, iż nie ma możliwości zawnioskowania do CPD EES tylko o dane VIS.</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 xml:space="preserve">Nadto procedura realizacji dostępu do EES w trybie pośrednim </w:t>
      </w:r>
      <w:r w:rsidR="008466AE" w:rsidRPr="001B0139">
        <w:rPr>
          <w:rFonts w:ascii="Times New Roman" w:eastAsiaTheme="minorHAnsi" w:hAnsi="Times New Roman" w:cs="Times New Roman"/>
          <w:color w:val="000000" w:themeColor="text1"/>
          <w:sz w:val="24"/>
          <w:szCs w:val="24"/>
          <w:lang w:eastAsia="en-US"/>
        </w:rPr>
        <w:t>zosta</w:t>
      </w:r>
      <w:r w:rsidR="008466AE">
        <w:rPr>
          <w:rFonts w:ascii="Times New Roman" w:eastAsiaTheme="minorHAnsi" w:hAnsi="Times New Roman" w:cs="Times New Roman"/>
          <w:color w:val="000000" w:themeColor="text1"/>
          <w:sz w:val="24"/>
          <w:szCs w:val="24"/>
          <w:lang w:eastAsia="en-US"/>
        </w:rPr>
        <w:t>nie</w:t>
      </w:r>
      <w:r w:rsidR="008466AE" w:rsidRPr="001B0139">
        <w:rPr>
          <w:rFonts w:ascii="Times New Roman" w:eastAsiaTheme="minorHAnsi" w:hAnsi="Times New Roman" w:cs="Times New Roman"/>
          <w:color w:val="000000" w:themeColor="text1"/>
          <w:sz w:val="24"/>
          <w:szCs w:val="24"/>
          <w:lang w:eastAsia="en-US"/>
        </w:rPr>
        <w:t xml:space="preserve"> </w:t>
      </w:r>
      <w:r w:rsidR="008466AE">
        <w:rPr>
          <w:rFonts w:ascii="Times New Roman" w:eastAsiaTheme="minorHAnsi" w:hAnsi="Times New Roman" w:cs="Times New Roman"/>
          <w:color w:val="000000" w:themeColor="text1"/>
          <w:sz w:val="24"/>
          <w:szCs w:val="24"/>
          <w:lang w:eastAsia="en-US"/>
        </w:rPr>
        <w:t>opisana</w:t>
      </w:r>
      <w:r w:rsidR="008466AE" w:rsidRPr="001B0139">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w rozporządzeni</w:t>
      </w:r>
      <w:r w:rsidR="008466AE">
        <w:rPr>
          <w:rFonts w:ascii="Times New Roman" w:eastAsiaTheme="minorHAnsi" w:hAnsi="Times New Roman" w:cs="Times New Roman"/>
          <w:color w:val="000000" w:themeColor="text1"/>
          <w:sz w:val="24"/>
          <w:szCs w:val="24"/>
          <w:lang w:eastAsia="en-US"/>
        </w:rPr>
        <w:t>u</w:t>
      </w:r>
      <w:r w:rsidRPr="001B0139">
        <w:rPr>
          <w:rFonts w:ascii="Times New Roman" w:eastAsiaTheme="minorHAnsi" w:hAnsi="Times New Roman" w:cs="Times New Roman"/>
          <w:color w:val="000000" w:themeColor="text1"/>
          <w:sz w:val="24"/>
          <w:szCs w:val="24"/>
          <w:lang w:eastAsia="en-US"/>
        </w:rPr>
        <w:t xml:space="preserve"> Ministra Spraw Wewnętrznych i Administracji w sprawie sposobu i trybu dodawania </w:t>
      </w:r>
      <w:r w:rsidRPr="001B0139">
        <w:rPr>
          <w:rFonts w:ascii="Times New Roman" w:eastAsiaTheme="minorHAnsi" w:hAnsi="Times New Roman" w:cs="Times New Roman"/>
          <w:color w:val="000000" w:themeColor="text1"/>
          <w:sz w:val="24"/>
          <w:szCs w:val="24"/>
          <w:lang w:eastAsia="en-US"/>
        </w:rPr>
        <w:lastRenderedPageBreak/>
        <w:t>jednostek operacyjnych oraz sposobu i trybu przyjmowania i rozpatrywania wniosków do Krajowej Jednostki ds. EES o dane EES przesyłanych w trybie pośrednim.</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Jednocześnie warto zaznaczyć, że możliwość jednoczesnego wyszukania w EES i VIS do celów identyfikacji nie odbiera racji bytu Centralnych Punktów Dostępu do VIS dla Policji ani żadnego innego organu, wskazanych w art. 7 ust. 2 ustawy o udziale RP w SIS i VIS.</w:t>
      </w:r>
    </w:p>
    <w:p w:rsidR="00E034A4" w:rsidRPr="001B0139" w:rsidRDefault="00E034A4" w:rsidP="00E034A4">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Standardowe wnioski o dane VIS nadal będą realizowane według zapisów ustawy o udziale RP w SIS i VIS oraz wydanych na jej podstawie aktów wykonawczych</w:t>
      </w:r>
      <w:r w:rsidR="00F82111">
        <w:rPr>
          <w:rFonts w:ascii="Times New Roman" w:eastAsiaTheme="minorHAnsi" w:hAnsi="Times New Roman" w:cs="Times New Roman"/>
          <w:color w:val="000000" w:themeColor="text1"/>
          <w:sz w:val="24"/>
          <w:szCs w:val="24"/>
          <w:lang w:eastAsia="en-US"/>
        </w:rPr>
        <w:t>.</w:t>
      </w:r>
    </w:p>
    <w:p w:rsidR="00DF2516" w:rsidRPr="003973C0" w:rsidRDefault="00E034A4" w:rsidP="008466AE">
      <w:pPr>
        <w:widowControl/>
        <w:autoSpaceDE/>
        <w:autoSpaceDN/>
        <w:adjustRightInd/>
        <w:spacing w:before="120" w:line="360" w:lineRule="auto"/>
        <w:ind w:firstLine="709"/>
        <w:jc w:val="both"/>
        <w:rPr>
          <w:rFonts w:ascii="Times New Roman" w:eastAsiaTheme="minorHAnsi" w:hAnsi="Times New Roman" w:cs="Times New Roman"/>
          <w:color w:val="000000" w:themeColor="text1"/>
          <w:sz w:val="24"/>
          <w:szCs w:val="24"/>
          <w:lang w:eastAsia="en-US"/>
        </w:rPr>
      </w:pPr>
      <w:r w:rsidRPr="003973C0">
        <w:rPr>
          <w:rFonts w:ascii="Times New Roman" w:eastAsiaTheme="minorHAnsi" w:hAnsi="Times New Roman" w:cs="Times New Roman"/>
          <w:color w:val="000000" w:themeColor="text1"/>
          <w:sz w:val="24"/>
          <w:szCs w:val="24"/>
          <w:lang w:eastAsia="en-US"/>
        </w:rPr>
        <w:t>W odniesieniu do ust</w:t>
      </w:r>
      <w:r w:rsidR="008466AE" w:rsidRPr="003973C0">
        <w:rPr>
          <w:rFonts w:ascii="Times New Roman" w:eastAsiaTheme="minorHAnsi" w:hAnsi="Times New Roman" w:cs="Times New Roman"/>
          <w:color w:val="000000" w:themeColor="text1"/>
          <w:sz w:val="24"/>
          <w:szCs w:val="24"/>
          <w:lang w:eastAsia="en-US"/>
        </w:rPr>
        <w:t>.</w:t>
      </w:r>
      <w:r w:rsidRPr="003973C0">
        <w:rPr>
          <w:rFonts w:ascii="Times New Roman" w:eastAsiaTheme="minorHAnsi" w:hAnsi="Times New Roman" w:cs="Times New Roman"/>
          <w:color w:val="000000" w:themeColor="text1"/>
          <w:sz w:val="24"/>
          <w:szCs w:val="24"/>
          <w:lang w:eastAsia="en-US"/>
        </w:rPr>
        <w:t xml:space="preserve"> 1 zauważyć należy, </w:t>
      </w:r>
      <w:r w:rsidR="00F82111">
        <w:rPr>
          <w:rFonts w:ascii="Times New Roman" w:eastAsiaTheme="minorHAnsi" w:hAnsi="Times New Roman" w:cs="Times New Roman"/>
          <w:color w:val="000000" w:themeColor="text1"/>
          <w:sz w:val="24"/>
          <w:szCs w:val="24"/>
          <w:lang w:eastAsia="en-US"/>
        </w:rPr>
        <w:t xml:space="preserve">że </w:t>
      </w:r>
      <w:r w:rsidRPr="003973C0">
        <w:rPr>
          <w:rFonts w:ascii="Times New Roman" w:eastAsiaTheme="minorHAnsi" w:hAnsi="Times New Roman" w:cs="Times New Roman"/>
          <w:color w:val="000000" w:themeColor="text1"/>
          <w:sz w:val="24"/>
          <w:szCs w:val="24"/>
          <w:lang w:eastAsia="en-US"/>
        </w:rPr>
        <w:t xml:space="preserve">art. 2 ustawy z dnia 28 stycznia 2016 r. </w:t>
      </w:r>
      <w:r w:rsidR="008466AE" w:rsidRPr="003973C0">
        <w:rPr>
          <w:rFonts w:ascii="Times New Roman" w:eastAsiaTheme="minorHAnsi" w:hAnsi="Times New Roman" w:cs="Times New Roman"/>
          <w:color w:val="000000" w:themeColor="text1"/>
          <w:sz w:val="24"/>
          <w:szCs w:val="24"/>
          <w:lang w:eastAsia="en-US"/>
        </w:rPr>
        <w:t xml:space="preserve">– </w:t>
      </w:r>
      <w:r w:rsidRPr="003973C0">
        <w:rPr>
          <w:rFonts w:ascii="Times New Roman" w:eastAsiaTheme="minorHAnsi" w:hAnsi="Times New Roman" w:cs="Times New Roman"/>
          <w:color w:val="000000" w:themeColor="text1"/>
          <w:sz w:val="24"/>
          <w:szCs w:val="24"/>
          <w:lang w:eastAsia="en-US"/>
        </w:rPr>
        <w:t>Prawo o prokuraturze określa, iż „Prokuratura wykonuje zadania w zakresie ścigania przestępstw oraz stoi na straży praworządności…”</w:t>
      </w:r>
      <w:r w:rsidR="008466AE" w:rsidRPr="003973C0">
        <w:rPr>
          <w:rFonts w:ascii="Times New Roman" w:eastAsiaTheme="minorHAnsi" w:hAnsi="Times New Roman" w:cs="Times New Roman"/>
          <w:color w:val="000000" w:themeColor="text1"/>
          <w:sz w:val="24"/>
          <w:szCs w:val="24"/>
          <w:lang w:eastAsia="en-US"/>
        </w:rPr>
        <w:t>,</w:t>
      </w:r>
      <w:r w:rsidRPr="003973C0">
        <w:rPr>
          <w:rFonts w:ascii="Times New Roman" w:eastAsiaTheme="minorHAnsi" w:hAnsi="Times New Roman" w:cs="Times New Roman"/>
          <w:color w:val="000000" w:themeColor="text1"/>
          <w:sz w:val="24"/>
          <w:szCs w:val="24"/>
          <w:lang w:eastAsia="en-US"/>
        </w:rPr>
        <w:t xml:space="preserve"> a zatem będąc wyznaczonym organem zgodnie z art. 4 ust. 1 dane EES przekazywane są na wniosek wyznaczonych jednostek operacyjnych przez te organy. </w:t>
      </w:r>
      <w:r w:rsidR="00DF2516" w:rsidRPr="003973C0">
        <w:rPr>
          <w:rFonts w:ascii="Times New Roman" w:eastAsiaTheme="minorHAnsi" w:hAnsi="Times New Roman" w:cs="Times New Roman"/>
          <w:color w:val="000000" w:themeColor="text1"/>
          <w:sz w:val="24"/>
          <w:szCs w:val="24"/>
          <w:lang w:eastAsia="en-US"/>
        </w:rPr>
        <w:t>Przyjęte rozwiązanie, nie uwzględniające indywidualnie  każdego z prokuratorów jako uprawnionego do dostępu do danych EES za pośrednictwem wyznaczonej przez siebie jednostki operacyjnej – wydaje się być zasadne z uwagi na wymagania jakie musieliby spełnić,  powołując każdy z osobna jednostkę operacyjną, która obsługiwałaby danego prokuratora.</w:t>
      </w:r>
    </w:p>
    <w:p w:rsidR="001C4A12" w:rsidRPr="001B0139" w:rsidRDefault="00E034A4" w:rsidP="00E034A4">
      <w:pPr>
        <w:pStyle w:val="ARTartustawynprozporzdzenia"/>
        <w:ind w:firstLine="708"/>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 art. 5 wskazano, że Komendant Główny Straży Granicznej pełni funkcję Krajowej Jednostki ds. EES oraz iż wyznaczy komórkę organizacyjną Komendy Głównej Straży Granicznej realizującą zadania Krajowej Jednostki ds. EES, a także opisano jej zadania.</w:t>
      </w:r>
      <w:r w:rsidR="00923A29" w:rsidRPr="001B0139">
        <w:rPr>
          <w:rFonts w:ascii="Times New Roman" w:eastAsiaTheme="minorHAnsi" w:hAnsi="Times New Roman" w:cs="Times New Roman"/>
          <w:color w:val="000000" w:themeColor="text1"/>
          <w:szCs w:val="24"/>
          <w:lang w:eastAsia="en-US"/>
        </w:rPr>
        <w:t xml:space="preserve"> </w:t>
      </w:r>
    </w:p>
    <w:p w:rsidR="00E034A4" w:rsidRPr="001B0139" w:rsidRDefault="001C4A12" w:rsidP="00E034A4">
      <w:pPr>
        <w:pStyle w:val="ARTartustawynprozporzdzenia"/>
        <w:ind w:firstLine="56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 art. 6 uregulowano w</w:t>
      </w:r>
      <w:r w:rsidR="00A94BA9" w:rsidRPr="001B0139">
        <w:rPr>
          <w:rFonts w:ascii="Times New Roman" w:eastAsiaTheme="minorHAnsi" w:hAnsi="Times New Roman" w:cs="Times New Roman"/>
          <w:color w:val="000000" w:themeColor="text1"/>
          <w:szCs w:val="24"/>
          <w:lang w:eastAsia="en-US"/>
        </w:rPr>
        <w:t xml:space="preserve">yznaczenie Centralnego Organu Technicznego KSI EES, który będzie realizował techniczne zadania wynikające z udziału Rzeczypospolitej Polskiej </w:t>
      </w:r>
      <w:r w:rsidR="00E034A4" w:rsidRPr="001B0139">
        <w:rPr>
          <w:rFonts w:ascii="Times New Roman" w:eastAsiaTheme="minorHAnsi" w:hAnsi="Times New Roman" w:cs="Times New Roman"/>
          <w:color w:val="000000" w:themeColor="text1"/>
          <w:szCs w:val="24"/>
          <w:lang w:eastAsia="en-US"/>
        </w:rPr>
        <w:t>w </w:t>
      </w:r>
      <w:r w:rsidR="00A94BA9" w:rsidRPr="001B0139">
        <w:rPr>
          <w:rFonts w:ascii="Times New Roman" w:eastAsiaTheme="minorHAnsi" w:hAnsi="Times New Roman" w:cs="Times New Roman"/>
          <w:color w:val="000000" w:themeColor="text1"/>
          <w:szCs w:val="24"/>
          <w:lang w:eastAsia="en-US"/>
        </w:rPr>
        <w:t xml:space="preserve">Systemie </w:t>
      </w:r>
      <w:r w:rsidRPr="001B0139">
        <w:rPr>
          <w:rFonts w:ascii="Times New Roman" w:eastAsiaTheme="minorHAnsi" w:hAnsi="Times New Roman" w:cs="Times New Roman"/>
          <w:color w:val="000000" w:themeColor="text1"/>
          <w:szCs w:val="24"/>
          <w:lang w:eastAsia="en-US"/>
        </w:rPr>
        <w:t xml:space="preserve">oraz określono </w:t>
      </w:r>
      <w:r w:rsidR="00A94BA9" w:rsidRPr="001B0139">
        <w:rPr>
          <w:rFonts w:ascii="Times New Roman" w:eastAsiaTheme="minorHAnsi" w:hAnsi="Times New Roman" w:cs="Times New Roman"/>
          <w:color w:val="000000" w:themeColor="text1"/>
          <w:szCs w:val="24"/>
          <w:lang w:eastAsia="en-US"/>
        </w:rPr>
        <w:t>jego zada</w:t>
      </w:r>
      <w:r w:rsidRPr="001B0139">
        <w:rPr>
          <w:rFonts w:ascii="Times New Roman" w:eastAsiaTheme="minorHAnsi" w:hAnsi="Times New Roman" w:cs="Times New Roman"/>
          <w:color w:val="000000" w:themeColor="text1"/>
          <w:szCs w:val="24"/>
          <w:lang w:eastAsia="en-US"/>
        </w:rPr>
        <w:t>nia</w:t>
      </w:r>
      <w:r w:rsidR="00A94BA9" w:rsidRPr="001B0139">
        <w:rPr>
          <w:rFonts w:ascii="Times New Roman" w:eastAsiaTheme="minorHAnsi" w:hAnsi="Times New Roman" w:cs="Times New Roman"/>
          <w:color w:val="000000" w:themeColor="text1"/>
          <w:szCs w:val="24"/>
          <w:lang w:eastAsia="en-US"/>
        </w:rPr>
        <w:t xml:space="preserve">, </w:t>
      </w:r>
      <w:r w:rsidRPr="001B0139">
        <w:rPr>
          <w:rFonts w:ascii="Times New Roman" w:eastAsiaTheme="minorHAnsi" w:hAnsi="Times New Roman" w:cs="Times New Roman"/>
          <w:color w:val="000000" w:themeColor="text1"/>
          <w:szCs w:val="24"/>
          <w:lang w:eastAsia="en-US"/>
        </w:rPr>
        <w:t xml:space="preserve">wynikające </w:t>
      </w:r>
      <w:r w:rsidR="00A94BA9" w:rsidRPr="001B0139">
        <w:rPr>
          <w:rFonts w:ascii="Times New Roman" w:eastAsiaTheme="minorHAnsi" w:hAnsi="Times New Roman" w:cs="Times New Roman"/>
          <w:color w:val="000000" w:themeColor="text1"/>
          <w:szCs w:val="24"/>
          <w:lang w:eastAsia="en-US"/>
        </w:rPr>
        <w:t>m.in. z art. 38 rozporządzenia 2017/2226</w:t>
      </w:r>
      <w:r w:rsidRPr="001B0139">
        <w:rPr>
          <w:rFonts w:ascii="Times New Roman" w:eastAsiaTheme="minorHAnsi" w:hAnsi="Times New Roman" w:cs="Times New Roman"/>
          <w:color w:val="000000" w:themeColor="text1"/>
          <w:szCs w:val="24"/>
          <w:lang w:eastAsia="en-US"/>
        </w:rPr>
        <w:t xml:space="preserve">. </w:t>
      </w:r>
      <w:r w:rsidR="00A94BA9" w:rsidRPr="001B0139">
        <w:rPr>
          <w:rFonts w:ascii="Times New Roman" w:eastAsiaTheme="minorHAnsi" w:hAnsi="Times New Roman" w:cs="Times New Roman"/>
          <w:color w:val="000000" w:themeColor="text1"/>
          <w:szCs w:val="24"/>
          <w:lang w:eastAsia="en-US"/>
        </w:rPr>
        <w:t>Jest to niezbędne dla prawidłowej organizacji, zarządzania i</w:t>
      </w:r>
      <w:r w:rsidR="00E034A4" w:rsidRPr="001B0139">
        <w:rPr>
          <w:rFonts w:ascii="Times New Roman" w:eastAsiaTheme="minorHAnsi" w:hAnsi="Times New Roman" w:cs="Times New Roman"/>
          <w:color w:val="000000" w:themeColor="text1"/>
          <w:szCs w:val="24"/>
          <w:lang w:eastAsia="en-US"/>
        </w:rPr>
        <w:t> </w:t>
      </w:r>
      <w:r w:rsidR="00A94BA9" w:rsidRPr="001B0139">
        <w:rPr>
          <w:rFonts w:ascii="Times New Roman" w:eastAsiaTheme="minorHAnsi" w:hAnsi="Times New Roman" w:cs="Times New Roman"/>
          <w:color w:val="000000" w:themeColor="text1"/>
          <w:szCs w:val="24"/>
          <w:lang w:eastAsia="en-US"/>
        </w:rPr>
        <w:t>utrzymania infrastruktury krajowej EES, zapewnienia niezbędnych środków tech</w:t>
      </w:r>
      <w:r w:rsidR="00E034A4" w:rsidRPr="001B0139">
        <w:rPr>
          <w:rFonts w:ascii="Times New Roman" w:eastAsiaTheme="minorHAnsi" w:hAnsi="Times New Roman" w:cs="Times New Roman"/>
          <w:color w:val="000000" w:themeColor="text1"/>
          <w:szCs w:val="24"/>
          <w:lang w:eastAsia="en-US"/>
        </w:rPr>
        <w:t>nicznych organom uprawnionym do </w:t>
      </w:r>
      <w:r w:rsidR="00A94BA9" w:rsidRPr="001B0139">
        <w:rPr>
          <w:rFonts w:ascii="Times New Roman" w:eastAsiaTheme="minorHAnsi" w:hAnsi="Times New Roman" w:cs="Times New Roman"/>
          <w:color w:val="000000" w:themeColor="text1"/>
          <w:szCs w:val="24"/>
          <w:lang w:eastAsia="en-US"/>
        </w:rPr>
        <w:t xml:space="preserve">przetwarzania </w:t>
      </w:r>
      <w:r w:rsidR="00A94BA9" w:rsidRPr="001B0139">
        <w:rPr>
          <w:rFonts w:ascii="Times New Roman" w:eastAsiaTheme="minorHAnsi" w:hAnsi="Times New Roman" w:cs="Times New Roman"/>
          <w:color w:val="000000" w:themeColor="text1"/>
          <w:szCs w:val="24"/>
          <w:lang w:eastAsia="en-US"/>
        </w:rPr>
        <w:lastRenderedPageBreak/>
        <w:t>danych oraz zapewnienie bezpiecz</w:t>
      </w:r>
      <w:r w:rsidR="00E034A4" w:rsidRPr="001B0139">
        <w:rPr>
          <w:rFonts w:ascii="Times New Roman" w:eastAsiaTheme="minorHAnsi" w:hAnsi="Times New Roman" w:cs="Times New Roman"/>
          <w:color w:val="000000" w:themeColor="text1"/>
          <w:szCs w:val="24"/>
          <w:lang w:eastAsia="en-US"/>
        </w:rPr>
        <w:t>nych rozwiązań technicznych. Na </w:t>
      </w:r>
      <w:r w:rsidR="00A94BA9" w:rsidRPr="001B0139">
        <w:rPr>
          <w:rFonts w:ascii="Times New Roman" w:eastAsiaTheme="minorHAnsi" w:hAnsi="Times New Roman" w:cs="Times New Roman"/>
          <w:color w:val="000000" w:themeColor="text1"/>
          <w:szCs w:val="24"/>
          <w:lang w:eastAsia="en-US"/>
        </w:rPr>
        <w:t xml:space="preserve">Centralny Organ Techniczny KSI EES zostały również nałożone obowiązki, w tym wynikające z art. 29 ust. 6 </w:t>
      </w:r>
      <w:r w:rsidRPr="001B0139">
        <w:rPr>
          <w:rFonts w:ascii="Times New Roman" w:eastAsiaTheme="minorHAnsi" w:hAnsi="Times New Roman" w:cs="Times New Roman"/>
          <w:color w:val="000000" w:themeColor="text1"/>
          <w:szCs w:val="24"/>
          <w:lang w:eastAsia="en-US"/>
        </w:rPr>
        <w:t xml:space="preserve">rozporządzenia 2017/2226 </w:t>
      </w:r>
      <w:r w:rsidR="00A94BA9" w:rsidRPr="001B0139">
        <w:rPr>
          <w:rFonts w:ascii="Times New Roman" w:eastAsiaTheme="minorHAnsi" w:hAnsi="Times New Roman" w:cs="Times New Roman"/>
          <w:color w:val="000000" w:themeColor="text1"/>
          <w:szCs w:val="24"/>
          <w:lang w:eastAsia="en-US"/>
        </w:rPr>
        <w:t>(prowadzenie ewidencji), art. 44 ust. 1, 3</w:t>
      </w:r>
      <w:r w:rsidR="00A620F8" w:rsidRPr="001B0139">
        <w:rPr>
          <w:rFonts w:ascii="Times New Roman" w:eastAsiaTheme="minorHAnsi" w:hAnsi="Times New Roman" w:cs="Times New Roman"/>
          <w:color w:val="000000" w:themeColor="text1"/>
          <w:szCs w:val="24"/>
          <w:lang w:eastAsia="en-US"/>
        </w:rPr>
        <w:t>–</w:t>
      </w:r>
      <w:r w:rsidR="00A94BA9" w:rsidRPr="001B0139">
        <w:rPr>
          <w:rFonts w:ascii="Times New Roman" w:eastAsiaTheme="minorHAnsi" w:hAnsi="Times New Roman" w:cs="Times New Roman"/>
          <w:color w:val="000000" w:themeColor="text1"/>
          <w:szCs w:val="24"/>
          <w:lang w:eastAsia="en-US"/>
        </w:rPr>
        <w:t xml:space="preserve">5 (postępowanie w przypadku zaistnienia incydentów bezpieczeństwa). </w:t>
      </w:r>
    </w:p>
    <w:p w:rsidR="00045122" w:rsidRPr="001B0139" w:rsidRDefault="00045122" w:rsidP="00045122">
      <w:pPr>
        <w:pStyle w:val="ARTartustawynprozporzdzenia"/>
        <w:ind w:firstLine="56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Jednym z zadań COT</w:t>
      </w:r>
      <w:r w:rsidR="005132DA" w:rsidRPr="001B0139">
        <w:rPr>
          <w:rFonts w:ascii="Times New Roman" w:eastAsiaTheme="minorHAnsi" w:hAnsi="Times New Roman" w:cs="Times New Roman"/>
          <w:color w:val="000000" w:themeColor="text1"/>
          <w:szCs w:val="24"/>
          <w:lang w:eastAsia="en-US"/>
        </w:rPr>
        <w:t xml:space="preserve"> </w:t>
      </w:r>
      <w:r w:rsidRPr="001B0139">
        <w:rPr>
          <w:rFonts w:ascii="Times New Roman" w:eastAsiaTheme="minorHAnsi" w:hAnsi="Times New Roman" w:cs="Times New Roman"/>
          <w:color w:val="000000" w:themeColor="text1"/>
          <w:szCs w:val="24"/>
          <w:lang w:eastAsia="en-US"/>
        </w:rPr>
        <w:t xml:space="preserve">KSI EES jest zapewnienie dostępu do danych EES poprzez aplikację WWW EES. Dostęp do danych EES via CPD nie jest ograniczony technicznie w kontekście liczby użytkowników końcowych, którzy mogą dokonywać zapytań w ramach organu uprawnionego. Opracowanie i utrzymanie aplikacji jest niezbędne celem zapewnienia takiego dostępu. </w:t>
      </w:r>
    </w:p>
    <w:p w:rsidR="00045122" w:rsidRPr="001B0139" w:rsidRDefault="00045122" w:rsidP="00045122">
      <w:pPr>
        <w:pStyle w:val="ARTartustawynprozporzdzenia"/>
        <w:ind w:firstLine="56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Aplikacja WWW EES zbudowana została w sposób umożliwiający dostęp do systemu, każdemu użytkownikowi końcowemu właściwie umocowanemu, tj. posiadającemu odpowiednie uprawnienia.</w:t>
      </w:r>
    </w:p>
    <w:p w:rsidR="00045122" w:rsidRPr="001B0139" w:rsidRDefault="00045122" w:rsidP="00045122">
      <w:pPr>
        <w:pStyle w:val="ARTartustawynprozporzdzenia"/>
        <w:ind w:firstLine="56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Dzięki takiemu rozwiązaniu, nie ogranicza się liczby użytkowników końcowych w ramach poszczególnych instytucji. Decyzja dotycząca ilości użytkowników końco</w:t>
      </w:r>
      <w:r w:rsidR="00F82111">
        <w:rPr>
          <w:rFonts w:ascii="Times New Roman" w:eastAsiaTheme="minorHAnsi" w:hAnsi="Times New Roman" w:cs="Times New Roman"/>
          <w:color w:val="000000" w:themeColor="text1"/>
          <w:szCs w:val="24"/>
          <w:lang w:eastAsia="en-US"/>
        </w:rPr>
        <w:t>wych uprawnionych do danych EES</w:t>
      </w:r>
      <w:r w:rsidRPr="001B0139">
        <w:rPr>
          <w:rFonts w:ascii="Times New Roman" w:eastAsiaTheme="minorHAnsi" w:hAnsi="Times New Roman" w:cs="Times New Roman"/>
          <w:color w:val="000000" w:themeColor="text1"/>
          <w:szCs w:val="24"/>
          <w:lang w:eastAsia="en-US"/>
        </w:rPr>
        <w:t xml:space="preserve"> pozostaje zawsze w gestii instytucji. </w:t>
      </w:r>
    </w:p>
    <w:p w:rsidR="00A94BA9" w:rsidRPr="001B0139" w:rsidRDefault="00E034A4" w:rsidP="00E034A4">
      <w:pPr>
        <w:pStyle w:val="ARTartustawynprozporzdzenia"/>
        <w:ind w:firstLine="56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w:t>
      </w:r>
      <w:r w:rsidR="005132DA" w:rsidRPr="001B0139">
        <w:rPr>
          <w:rFonts w:ascii="Times New Roman" w:eastAsiaTheme="minorHAnsi" w:hAnsi="Times New Roman" w:cs="Times New Roman"/>
          <w:color w:val="000000" w:themeColor="text1"/>
          <w:szCs w:val="24"/>
          <w:lang w:eastAsia="en-US"/>
        </w:rPr>
        <w:t xml:space="preserve"> </w:t>
      </w:r>
      <w:r w:rsidR="001C4A12" w:rsidRPr="001B0139">
        <w:rPr>
          <w:rFonts w:ascii="Times New Roman" w:eastAsiaTheme="minorHAnsi" w:hAnsi="Times New Roman" w:cs="Times New Roman"/>
          <w:color w:val="000000" w:themeColor="text1"/>
          <w:szCs w:val="24"/>
          <w:lang w:eastAsia="en-US"/>
        </w:rPr>
        <w:t xml:space="preserve">projektowanym art. 7 ustawy </w:t>
      </w:r>
      <w:r w:rsidR="00A94BA9" w:rsidRPr="001B0139">
        <w:rPr>
          <w:rFonts w:ascii="Times New Roman" w:eastAsiaTheme="minorHAnsi" w:hAnsi="Times New Roman" w:cs="Times New Roman"/>
          <w:color w:val="000000" w:themeColor="text1"/>
          <w:szCs w:val="24"/>
          <w:lang w:eastAsia="en-US"/>
        </w:rPr>
        <w:t xml:space="preserve">określono </w:t>
      </w:r>
      <w:r w:rsidRPr="001B0139">
        <w:rPr>
          <w:rFonts w:ascii="Times New Roman" w:eastAsiaTheme="minorHAnsi" w:hAnsi="Times New Roman" w:cs="Times New Roman"/>
          <w:color w:val="000000" w:themeColor="text1"/>
          <w:szCs w:val="24"/>
          <w:lang w:eastAsia="en-US"/>
        </w:rPr>
        <w:t xml:space="preserve">zasady i </w:t>
      </w:r>
      <w:r w:rsidR="00A94BA9" w:rsidRPr="001B0139">
        <w:rPr>
          <w:rFonts w:ascii="Times New Roman" w:eastAsiaTheme="minorHAnsi" w:hAnsi="Times New Roman" w:cs="Times New Roman"/>
          <w:color w:val="000000" w:themeColor="text1"/>
          <w:szCs w:val="24"/>
          <w:lang w:eastAsia="en-US"/>
        </w:rPr>
        <w:t xml:space="preserve">sposób realizacji zadań </w:t>
      </w:r>
      <w:r w:rsidR="001C4A12" w:rsidRPr="001B0139">
        <w:rPr>
          <w:rFonts w:ascii="Times New Roman" w:eastAsiaTheme="minorHAnsi" w:hAnsi="Times New Roman" w:cs="Times New Roman"/>
          <w:color w:val="000000" w:themeColor="text1"/>
          <w:szCs w:val="24"/>
          <w:lang w:eastAsia="en-US"/>
        </w:rPr>
        <w:t>wymienionych w</w:t>
      </w:r>
      <w:r w:rsidRPr="001B0139">
        <w:rPr>
          <w:rFonts w:ascii="Times New Roman" w:eastAsiaTheme="minorHAnsi" w:hAnsi="Times New Roman" w:cs="Times New Roman"/>
          <w:color w:val="000000" w:themeColor="text1"/>
          <w:szCs w:val="24"/>
          <w:lang w:eastAsia="en-US"/>
        </w:rPr>
        <w:t xml:space="preserve"> art. </w:t>
      </w:r>
      <w:r w:rsidR="00A94BA9" w:rsidRPr="001B0139">
        <w:rPr>
          <w:rFonts w:ascii="Times New Roman" w:eastAsiaTheme="minorHAnsi" w:hAnsi="Times New Roman" w:cs="Times New Roman"/>
          <w:color w:val="000000" w:themeColor="text1"/>
          <w:szCs w:val="24"/>
          <w:lang w:eastAsia="en-US"/>
        </w:rPr>
        <w:t>6.</w:t>
      </w:r>
    </w:p>
    <w:p w:rsidR="001C4A12" w:rsidRPr="001B0139" w:rsidRDefault="001C4A12" w:rsidP="00E034A4">
      <w:pPr>
        <w:pStyle w:val="ARTartustawynprozporzdzenia"/>
        <w:ind w:firstLine="56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Wyznaczenie jednego Centralnego Punktu Dostępu, zwanego dalej „CPD” w Straży Granicznej, która została wskazana jako odpowiedz</w:t>
      </w:r>
      <w:r w:rsidR="00045122" w:rsidRPr="001B0139">
        <w:rPr>
          <w:rFonts w:ascii="Times New Roman" w:eastAsiaTheme="minorHAnsi" w:hAnsi="Times New Roman" w:cs="Times New Roman"/>
          <w:color w:val="000000" w:themeColor="text1"/>
          <w:szCs w:val="24"/>
          <w:lang w:eastAsia="en-US"/>
        </w:rPr>
        <w:t xml:space="preserve">ialna za wdrożenie systemu EES </w:t>
      </w:r>
      <w:r w:rsidRPr="001B0139">
        <w:rPr>
          <w:rFonts w:ascii="Times New Roman" w:eastAsiaTheme="minorHAnsi" w:hAnsi="Times New Roman" w:cs="Times New Roman"/>
          <w:color w:val="000000" w:themeColor="text1"/>
          <w:szCs w:val="24"/>
          <w:lang w:eastAsia="en-US"/>
        </w:rPr>
        <w:t>w</w:t>
      </w:r>
      <w:r w:rsidR="00045122" w:rsidRPr="001B0139">
        <w:rPr>
          <w:rFonts w:ascii="Times New Roman" w:eastAsiaTheme="minorHAnsi" w:hAnsi="Times New Roman" w:cs="Times New Roman"/>
          <w:color w:val="000000" w:themeColor="text1"/>
          <w:szCs w:val="24"/>
          <w:lang w:eastAsia="en-US"/>
        </w:rPr>
        <w:t> </w:t>
      </w:r>
      <w:r w:rsidRPr="001B0139">
        <w:rPr>
          <w:rFonts w:ascii="Times New Roman" w:eastAsiaTheme="minorHAnsi" w:hAnsi="Times New Roman" w:cs="Times New Roman"/>
          <w:color w:val="000000" w:themeColor="text1"/>
          <w:szCs w:val="24"/>
          <w:lang w:eastAsia="en-US"/>
        </w:rPr>
        <w:t>Rzeczypospolitej Polskiej, jest zasadne ze wzgl</w:t>
      </w:r>
      <w:r w:rsidR="00045122" w:rsidRPr="001B0139">
        <w:rPr>
          <w:rFonts w:ascii="Times New Roman" w:eastAsiaTheme="minorHAnsi" w:hAnsi="Times New Roman" w:cs="Times New Roman"/>
          <w:color w:val="000000" w:themeColor="text1"/>
          <w:szCs w:val="24"/>
          <w:lang w:eastAsia="en-US"/>
        </w:rPr>
        <w:t xml:space="preserve">ędów prawnych, organizacyjnych </w:t>
      </w:r>
      <w:r w:rsidRPr="001B0139">
        <w:rPr>
          <w:rFonts w:ascii="Times New Roman" w:eastAsiaTheme="minorHAnsi" w:hAnsi="Times New Roman" w:cs="Times New Roman"/>
          <w:color w:val="000000" w:themeColor="text1"/>
          <w:szCs w:val="24"/>
          <w:lang w:eastAsia="en-US"/>
        </w:rPr>
        <w:t>i</w:t>
      </w:r>
      <w:r w:rsidR="00045122" w:rsidRPr="001B0139">
        <w:rPr>
          <w:rFonts w:ascii="Times New Roman" w:eastAsiaTheme="minorHAnsi" w:hAnsi="Times New Roman" w:cs="Times New Roman"/>
          <w:color w:val="000000" w:themeColor="text1"/>
          <w:szCs w:val="24"/>
          <w:lang w:eastAsia="en-US"/>
        </w:rPr>
        <w:t> </w:t>
      </w:r>
      <w:r w:rsidRPr="001B0139">
        <w:rPr>
          <w:rFonts w:ascii="Times New Roman" w:eastAsiaTheme="minorHAnsi" w:hAnsi="Times New Roman" w:cs="Times New Roman"/>
          <w:color w:val="000000" w:themeColor="text1"/>
          <w:szCs w:val="24"/>
          <w:lang w:eastAsia="en-US"/>
        </w:rPr>
        <w:t xml:space="preserve">technicznych. Powyższe znalazło odzwierciedlenie </w:t>
      </w:r>
      <w:r w:rsidR="00045122" w:rsidRPr="001B0139">
        <w:rPr>
          <w:rFonts w:ascii="Times New Roman" w:eastAsiaTheme="minorHAnsi" w:hAnsi="Times New Roman" w:cs="Times New Roman"/>
          <w:color w:val="000000" w:themeColor="text1"/>
          <w:szCs w:val="24"/>
          <w:lang w:eastAsia="en-US"/>
        </w:rPr>
        <w:t xml:space="preserve">zarówno w projekcie ustawy jak </w:t>
      </w:r>
      <w:r w:rsidRPr="001B0139">
        <w:rPr>
          <w:rFonts w:ascii="Times New Roman" w:eastAsiaTheme="minorHAnsi" w:hAnsi="Times New Roman" w:cs="Times New Roman"/>
          <w:color w:val="000000" w:themeColor="text1"/>
          <w:szCs w:val="24"/>
          <w:lang w:eastAsia="en-US"/>
        </w:rPr>
        <w:t>i</w:t>
      </w:r>
      <w:r w:rsidR="00045122" w:rsidRPr="001B0139">
        <w:rPr>
          <w:rFonts w:ascii="Times New Roman" w:eastAsiaTheme="minorHAnsi" w:hAnsi="Times New Roman" w:cs="Times New Roman"/>
          <w:color w:val="000000" w:themeColor="text1"/>
          <w:szCs w:val="24"/>
          <w:lang w:eastAsia="en-US"/>
        </w:rPr>
        <w:t> w </w:t>
      </w:r>
      <w:r w:rsidRPr="001B0139">
        <w:rPr>
          <w:rFonts w:ascii="Times New Roman" w:eastAsiaTheme="minorHAnsi" w:hAnsi="Times New Roman" w:cs="Times New Roman"/>
          <w:color w:val="000000" w:themeColor="text1"/>
          <w:szCs w:val="24"/>
          <w:lang w:eastAsia="en-US"/>
        </w:rPr>
        <w:t xml:space="preserve">zbudowanym „systemie krajowym”. Wyznaczenie jednego CPD do danych EES, usytuowanego w strukturze Straży Granicznej, zostało zaakceptowane przez Pełnomocnika </w:t>
      </w:r>
      <w:r w:rsidRPr="001B0139">
        <w:rPr>
          <w:rFonts w:ascii="Times New Roman" w:eastAsiaTheme="minorHAnsi" w:hAnsi="Times New Roman" w:cs="Times New Roman"/>
          <w:color w:val="000000" w:themeColor="text1"/>
          <w:szCs w:val="24"/>
          <w:lang w:eastAsia="en-US"/>
        </w:rPr>
        <w:lastRenderedPageBreak/>
        <w:t>Rządu ds. Systemów Wielkoskalowych, co z kolei stanowiło podstawę do rozpoczęcia przez Straż Graniczną działań zmierzających do budowy i wdrożenia Systemu.</w:t>
      </w:r>
    </w:p>
    <w:p w:rsidR="001C4A12" w:rsidRPr="001B0139" w:rsidRDefault="001C4A12" w:rsidP="00BE6716">
      <w:pPr>
        <w:pStyle w:val="ARTartustawynprozporzdzenia"/>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Powołanie jednego CPD dla wszystkich wyznaczonych organów w Rzeczypospolitej Polskiej uzasadnione jest pod względem prawnym tym, że:</w:t>
      </w:r>
    </w:p>
    <w:p w:rsidR="001C4A12" w:rsidRPr="001B0139" w:rsidRDefault="001C4A12" w:rsidP="00BE6716">
      <w:pPr>
        <w:pStyle w:val="ARTartustawynprozporzdzenia"/>
        <w:numPr>
          <w:ilvl w:val="0"/>
          <w:numId w:val="8"/>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Straż Graniczna spełnia określone w rozporządzeniu 2017/2226 przesłanki, m.</w:t>
      </w:r>
      <w:r w:rsidR="00045122" w:rsidRPr="001B0139">
        <w:rPr>
          <w:rFonts w:ascii="Times New Roman" w:eastAsiaTheme="minorHAnsi" w:hAnsi="Times New Roman" w:cs="Times New Roman"/>
          <w:color w:val="000000" w:themeColor="text1"/>
          <w:szCs w:val="24"/>
          <w:lang w:eastAsia="en-US"/>
        </w:rPr>
        <w:t xml:space="preserve"> </w:t>
      </w:r>
      <w:r w:rsidRPr="001B0139">
        <w:rPr>
          <w:rFonts w:ascii="Times New Roman" w:eastAsiaTheme="minorHAnsi" w:hAnsi="Times New Roman" w:cs="Times New Roman"/>
          <w:color w:val="000000" w:themeColor="text1"/>
          <w:szCs w:val="24"/>
          <w:lang w:eastAsia="en-US"/>
        </w:rPr>
        <w:t xml:space="preserve">in. </w:t>
      </w:r>
      <w:r w:rsidR="00045122" w:rsidRPr="001B0139">
        <w:rPr>
          <w:rFonts w:ascii="Times New Roman" w:eastAsiaTheme="minorHAnsi" w:hAnsi="Times New Roman" w:cs="Times New Roman"/>
          <w:color w:val="000000" w:themeColor="text1"/>
          <w:szCs w:val="24"/>
          <w:lang w:eastAsia="en-US"/>
        </w:rPr>
        <w:t>w </w:t>
      </w:r>
      <w:r w:rsidRPr="001B0139">
        <w:rPr>
          <w:rFonts w:ascii="Times New Roman" w:eastAsiaTheme="minorHAnsi" w:hAnsi="Times New Roman" w:cs="Times New Roman"/>
          <w:color w:val="000000" w:themeColor="text1"/>
          <w:szCs w:val="24"/>
          <w:lang w:eastAsia="en-US"/>
        </w:rPr>
        <w:t>zakresie sprawowania władzy publicznej;</w:t>
      </w:r>
    </w:p>
    <w:p w:rsidR="001C4A12" w:rsidRPr="001B0139" w:rsidRDefault="001C4A12" w:rsidP="00BE6716">
      <w:pPr>
        <w:pStyle w:val="ARTartustawynprozporzdzenia"/>
        <w:numPr>
          <w:ilvl w:val="0"/>
          <w:numId w:val="8"/>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 xml:space="preserve">Straż Graniczna będzie pełniła również funkcję wyznaczonego organu, co jest dopuszczalne w świetle </w:t>
      </w:r>
      <w:r w:rsidR="00045122" w:rsidRPr="001B0139">
        <w:rPr>
          <w:rFonts w:ascii="Times New Roman" w:eastAsiaTheme="minorHAnsi" w:hAnsi="Times New Roman" w:cs="Times New Roman"/>
          <w:color w:val="000000" w:themeColor="text1"/>
          <w:szCs w:val="24"/>
          <w:lang w:eastAsia="en-US"/>
        </w:rPr>
        <w:t xml:space="preserve">art. 29 ust. 3 </w:t>
      </w:r>
      <w:r w:rsidRPr="001B0139">
        <w:rPr>
          <w:rFonts w:ascii="Times New Roman" w:eastAsiaTheme="minorHAnsi" w:hAnsi="Times New Roman" w:cs="Times New Roman"/>
          <w:color w:val="000000" w:themeColor="text1"/>
          <w:szCs w:val="24"/>
          <w:lang w:eastAsia="en-US"/>
        </w:rPr>
        <w:t>rozporządzenia 2017/2226;</w:t>
      </w:r>
    </w:p>
    <w:p w:rsidR="001C4A12" w:rsidRPr="001B0139" w:rsidRDefault="001C4A12" w:rsidP="00BE6716">
      <w:pPr>
        <w:pStyle w:val="ARTartustawynprozporzdzenia"/>
        <w:numPr>
          <w:ilvl w:val="0"/>
          <w:numId w:val="8"/>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wyznaczenie jednego CPD zapewnia większą niezależność od wyznaczonych organów niż w przypadku powołania kilku CPD</w:t>
      </w:r>
      <w:r w:rsidR="002E2D3B" w:rsidRPr="001B0139">
        <w:rPr>
          <w:rFonts w:ascii="Times New Roman" w:eastAsiaTheme="minorHAnsi" w:hAnsi="Times New Roman" w:cs="Times New Roman"/>
          <w:color w:val="000000" w:themeColor="text1"/>
          <w:szCs w:val="24"/>
          <w:lang w:eastAsia="en-US"/>
        </w:rPr>
        <w:t>;</w:t>
      </w:r>
    </w:p>
    <w:p w:rsidR="00045122" w:rsidRPr="001B0139" w:rsidRDefault="00045122" w:rsidP="00045122">
      <w:pPr>
        <w:pStyle w:val="ARTartustawynprozporzdzenia"/>
        <w:numPr>
          <w:ilvl w:val="0"/>
          <w:numId w:val="8"/>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proces legislacyjny w zakresie ustanowienia CPD jest ograniczony do jednego organu administracji rządowej, w ramach którego istnieje możliwość wyodrębnienia  komórki organizacyjnej do wykonywania zadań CPD (jak pokazuje przykład Krajowej Jednostki do Spraw Informacji o Pasażerach w Komendzie Głównej Straży Granicznej);</w:t>
      </w:r>
    </w:p>
    <w:p w:rsidR="00045122" w:rsidRPr="001B0139" w:rsidRDefault="00045122" w:rsidP="00045122">
      <w:pPr>
        <w:pStyle w:val="ARTartustawynprozporzdzenia"/>
        <w:numPr>
          <w:ilvl w:val="0"/>
          <w:numId w:val="8"/>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wyodrębnienie CPD w niektórych organach administracji rządowej, szczególnie w służbach specjalnych z uwagi na ich podległość pod różnych Ministrów, a także obowiązującą hierarchię służbową oraz wykonywanie ustawowych zadań mogłoby być utrudnione i skomplikowane.</w:t>
      </w:r>
    </w:p>
    <w:p w:rsidR="001C4A12" w:rsidRPr="001B0139" w:rsidRDefault="001C4A12" w:rsidP="00BE6716">
      <w:pPr>
        <w:pStyle w:val="ARTartustawynprozporzdzenia"/>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Ponadto pod względem organizacyjnym</w:t>
      </w:r>
      <w:r w:rsidRPr="001B0139" w:rsidDel="00B12A97">
        <w:rPr>
          <w:rFonts w:ascii="Times New Roman" w:eastAsiaTheme="minorHAnsi" w:hAnsi="Times New Roman" w:cs="Times New Roman"/>
          <w:color w:val="000000" w:themeColor="text1"/>
          <w:szCs w:val="24"/>
          <w:lang w:eastAsia="en-US"/>
        </w:rPr>
        <w:t xml:space="preserve"> </w:t>
      </w:r>
      <w:r w:rsidRPr="001B0139">
        <w:rPr>
          <w:rFonts w:ascii="Times New Roman" w:eastAsiaTheme="minorHAnsi" w:hAnsi="Times New Roman" w:cs="Times New Roman"/>
          <w:color w:val="000000" w:themeColor="text1"/>
          <w:szCs w:val="24"/>
          <w:lang w:eastAsia="en-US"/>
        </w:rPr>
        <w:t>powołanie jednego CPD:</w:t>
      </w:r>
    </w:p>
    <w:p w:rsidR="001C4A12" w:rsidRPr="001B0139" w:rsidRDefault="001C4A12" w:rsidP="00BE6716">
      <w:pPr>
        <w:pStyle w:val="ARTartustawynprozporzdzenia"/>
        <w:numPr>
          <w:ilvl w:val="0"/>
          <w:numId w:val="10"/>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powoduje zmiany struktury organizacyjnej jednego organu administracji rządowej;</w:t>
      </w:r>
    </w:p>
    <w:p w:rsidR="001C4A12" w:rsidRPr="001B0139" w:rsidRDefault="001C4A12" w:rsidP="00BE6716">
      <w:pPr>
        <w:pStyle w:val="ARTartustawynprozporzdzenia"/>
        <w:numPr>
          <w:ilvl w:val="0"/>
          <w:numId w:val="10"/>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ułatwia ustalenie jednolitych dla wszystkich wyznaczonych organów warunków dostępu do danych EES za pośrednictwem CPD;</w:t>
      </w:r>
    </w:p>
    <w:p w:rsidR="001C4A12" w:rsidRPr="001B0139" w:rsidRDefault="001C4A12" w:rsidP="00BE6716">
      <w:pPr>
        <w:pStyle w:val="ARTartustawynprozporzdzenia"/>
        <w:numPr>
          <w:ilvl w:val="0"/>
          <w:numId w:val="10"/>
        </w:numPr>
        <w:ind w:left="714"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lastRenderedPageBreak/>
        <w:t>skupia w jednym miejscu odpowiedzialność za realiza</w:t>
      </w:r>
      <w:r w:rsidR="007C77BA">
        <w:rPr>
          <w:rFonts w:ascii="Times New Roman" w:eastAsiaTheme="minorHAnsi" w:hAnsi="Times New Roman" w:cs="Times New Roman"/>
          <w:color w:val="000000" w:themeColor="text1"/>
          <w:szCs w:val="24"/>
          <w:lang w:eastAsia="en-US"/>
        </w:rPr>
        <w:t>cję zadań nałożonych na CPD np. </w:t>
      </w:r>
      <w:r w:rsidRPr="001B0139">
        <w:rPr>
          <w:rFonts w:ascii="Times New Roman" w:eastAsiaTheme="minorHAnsi" w:hAnsi="Times New Roman" w:cs="Times New Roman"/>
          <w:color w:val="000000" w:themeColor="text1"/>
          <w:szCs w:val="24"/>
          <w:lang w:eastAsia="en-US"/>
        </w:rPr>
        <w:t>w zakresie prowadzenia wykazu jednostek operacyj</w:t>
      </w:r>
      <w:r w:rsidR="007C77BA">
        <w:rPr>
          <w:rFonts w:ascii="Times New Roman" w:eastAsiaTheme="minorHAnsi" w:hAnsi="Times New Roman" w:cs="Times New Roman"/>
          <w:color w:val="000000" w:themeColor="text1"/>
          <w:szCs w:val="24"/>
          <w:lang w:eastAsia="en-US"/>
        </w:rPr>
        <w:t>nych uprawnionych do dostępu do </w:t>
      </w:r>
      <w:r w:rsidRPr="001B0139">
        <w:rPr>
          <w:rFonts w:ascii="Times New Roman" w:eastAsiaTheme="minorHAnsi" w:hAnsi="Times New Roman" w:cs="Times New Roman"/>
          <w:color w:val="000000" w:themeColor="text1"/>
          <w:szCs w:val="24"/>
          <w:lang w:eastAsia="en-US"/>
        </w:rPr>
        <w:t>danych EES za pośrednictwem CPD.</w:t>
      </w:r>
    </w:p>
    <w:p w:rsidR="001C4A12" w:rsidRPr="001B0139" w:rsidRDefault="00045122" w:rsidP="00BE6716">
      <w:pPr>
        <w:pStyle w:val="ARTartustawynprozporzdzenia"/>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U</w:t>
      </w:r>
      <w:r w:rsidR="001C4A12" w:rsidRPr="001B0139">
        <w:rPr>
          <w:rFonts w:ascii="Times New Roman" w:eastAsiaTheme="minorHAnsi" w:hAnsi="Times New Roman" w:cs="Times New Roman"/>
          <w:color w:val="000000" w:themeColor="text1"/>
          <w:szCs w:val="24"/>
          <w:lang w:eastAsia="en-US"/>
        </w:rPr>
        <w:t>miejscowienie CPD w Komendzie Głównej Straży Granicznej jest rozw</w:t>
      </w:r>
      <w:r w:rsidRPr="001B0139">
        <w:rPr>
          <w:rFonts w:ascii="Times New Roman" w:eastAsiaTheme="minorHAnsi" w:hAnsi="Times New Roman" w:cs="Times New Roman"/>
          <w:color w:val="000000" w:themeColor="text1"/>
          <w:szCs w:val="24"/>
          <w:lang w:eastAsia="en-US"/>
        </w:rPr>
        <w:t xml:space="preserve">iązaniem korzystnym ze względu </w:t>
      </w:r>
      <w:r w:rsidR="001C4A12" w:rsidRPr="001B0139">
        <w:rPr>
          <w:rFonts w:ascii="Times New Roman" w:eastAsiaTheme="minorHAnsi" w:hAnsi="Times New Roman" w:cs="Times New Roman"/>
          <w:color w:val="000000" w:themeColor="text1"/>
          <w:szCs w:val="24"/>
          <w:lang w:eastAsia="en-US"/>
        </w:rPr>
        <w:t>m.in. na:</w:t>
      </w:r>
    </w:p>
    <w:p w:rsidR="001C4A12" w:rsidRPr="001B0139" w:rsidRDefault="001C4A12" w:rsidP="00BE6716">
      <w:pPr>
        <w:pStyle w:val="ARTartustawynprozporzdzenia"/>
        <w:numPr>
          <w:ilvl w:val="0"/>
          <w:numId w:val="11"/>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jednolity nadzór nad przestrzeganiem przepisów w szczególności w zakresie:</w:t>
      </w:r>
    </w:p>
    <w:p w:rsidR="001C4A12" w:rsidRPr="001B0139" w:rsidRDefault="001C4A12" w:rsidP="00BE6716">
      <w:pPr>
        <w:pStyle w:val="ARTartustawynprozporzdzenia"/>
        <w:numPr>
          <w:ilvl w:val="0"/>
          <w:numId w:val="12"/>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dostępu wyznaczonych organów do danych EES,</w:t>
      </w:r>
    </w:p>
    <w:p w:rsidR="001C4A12" w:rsidRPr="001B0139" w:rsidRDefault="001C4A12" w:rsidP="00BE6716">
      <w:pPr>
        <w:pStyle w:val="ARTartustawynprozporzdzenia"/>
        <w:numPr>
          <w:ilvl w:val="0"/>
          <w:numId w:val="12"/>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rejestrowania i dokumentowania wszystkich operacji przetwarzania danych EES związanych z wnioskami wyznaczonych organów,</w:t>
      </w:r>
    </w:p>
    <w:p w:rsidR="001C4A12" w:rsidRPr="001B0139" w:rsidRDefault="001C4A12" w:rsidP="00BE6716">
      <w:pPr>
        <w:pStyle w:val="ARTartustawynprozporzdzenia"/>
        <w:numPr>
          <w:ilvl w:val="0"/>
          <w:numId w:val="12"/>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odpowiedniego upoważnienia osób mających dostęp do danych EES;</w:t>
      </w:r>
    </w:p>
    <w:p w:rsidR="001C4A12" w:rsidRPr="001B0139" w:rsidRDefault="001C4A12" w:rsidP="00BE6716">
      <w:pPr>
        <w:pStyle w:val="ARTartustawynprozporzdzenia"/>
        <w:numPr>
          <w:ilvl w:val="0"/>
          <w:numId w:val="11"/>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zapewnienie przez Straż Graniczną</w:t>
      </w:r>
      <w:r w:rsidR="00F92C65" w:rsidRPr="001B0139">
        <w:rPr>
          <w:rFonts w:ascii="Times New Roman" w:eastAsiaTheme="minorHAnsi" w:hAnsi="Times New Roman" w:cs="Times New Roman"/>
          <w:color w:val="000000" w:themeColor="text1"/>
          <w:szCs w:val="24"/>
          <w:lang w:eastAsia="en-US"/>
        </w:rPr>
        <w:t>,</w:t>
      </w:r>
      <w:r w:rsidRPr="001B0139">
        <w:rPr>
          <w:rFonts w:ascii="Times New Roman" w:eastAsiaTheme="minorHAnsi" w:hAnsi="Times New Roman" w:cs="Times New Roman"/>
          <w:color w:val="000000" w:themeColor="text1"/>
          <w:szCs w:val="24"/>
          <w:lang w:eastAsia="en-US"/>
        </w:rPr>
        <w:t xml:space="preserve"> jako administratora wyznaczonego na podstawie art. 39 ust. 1 rozporządzenia 2017/2226</w:t>
      </w:r>
      <w:r w:rsidR="00F92C65" w:rsidRPr="001B0139">
        <w:rPr>
          <w:rFonts w:ascii="Times New Roman" w:eastAsiaTheme="minorHAnsi" w:hAnsi="Times New Roman" w:cs="Times New Roman"/>
          <w:color w:val="000000" w:themeColor="text1"/>
          <w:szCs w:val="24"/>
          <w:lang w:eastAsia="en-US"/>
        </w:rPr>
        <w:t>,</w:t>
      </w:r>
      <w:r w:rsidRPr="001B0139">
        <w:rPr>
          <w:rFonts w:ascii="Times New Roman" w:eastAsiaTheme="minorHAnsi" w:hAnsi="Times New Roman" w:cs="Times New Roman"/>
          <w:color w:val="000000" w:themeColor="text1"/>
          <w:szCs w:val="24"/>
          <w:lang w:eastAsia="en-US"/>
        </w:rPr>
        <w:t xml:space="preserve"> właściwego nadzoru nad przetwarzaniem danych EES;</w:t>
      </w:r>
    </w:p>
    <w:p w:rsidR="001C4A12" w:rsidRPr="001B0139" w:rsidRDefault="001C4A12" w:rsidP="00BE6716">
      <w:pPr>
        <w:pStyle w:val="ARTartustawynprozporzdzenia"/>
        <w:numPr>
          <w:ilvl w:val="0"/>
          <w:numId w:val="11"/>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opracowanie jednego systemu wnioskowego dla wyznaczonych organów w zakresie:</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wytworzenia, wdrożenia oraz utrzymania i rozwoju systemu (tworzenie oprogramowania i administracja oprogramowaniem, help desk, obsługa problemów, naprawa błędów itp.),</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rozliczalności systemu,</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przygotowywania sprawozdawczości dla Komisji Europejskiej (możliwość przygotowania dedykowanych raportów),</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zarządzania użytkownikami i dostępu do danych EES (w przypadku formy scentralizowanej jest o wiele łatwiejsze i tańsze),</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lastRenderedPageBreak/>
        <w:t xml:space="preserve">przygotowania rozwiązania opartego na eksploatowanej w SG architekturze </w:t>
      </w:r>
      <w:r w:rsidR="00045122" w:rsidRPr="001B0139">
        <w:rPr>
          <w:rFonts w:ascii="Times New Roman" w:eastAsiaTheme="minorHAnsi" w:hAnsi="Times New Roman" w:cs="Times New Roman"/>
          <w:color w:val="000000" w:themeColor="text1"/>
          <w:szCs w:val="24"/>
          <w:lang w:eastAsia="en-US"/>
        </w:rPr>
        <w:t>i </w:t>
      </w:r>
      <w:r w:rsidRPr="001B0139">
        <w:rPr>
          <w:rFonts w:ascii="Times New Roman" w:eastAsiaTheme="minorHAnsi" w:hAnsi="Times New Roman" w:cs="Times New Roman"/>
          <w:color w:val="000000" w:themeColor="text1"/>
          <w:szCs w:val="24"/>
          <w:lang w:eastAsia="en-US"/>
        </w:rPr>
        <w:t>technologii</w:t>
      </w:r>
      <w:r w:rsidR="00045122" w:rsidRPr="001B0139">
        <w:rPr>
          <w:rFonts w:ascii="Times New Roman" w:eastAsiaTheme="minorHAnsi" w:hAnsi="Times New Roman" w:cs="Times New Roman"/>
          <w:color w:val="000000" w:themeColor="text1"/>
          <w:szCs w:val="24"/>
          <w:lang w:eastAsia="en-US"/>
        </w:rPr>
        <w:t xml:space="preserve"> będzie generowało </w:t>
      </w:r>
      <w:r w:rsidRPr="001B0139">
        <w:rPr>
          <w:rFonts w:ascii="Times New Roman" w:eastAsiaTheme="minorHAnsi" w:hAnsi="Times New Roman" w:cs="Times New Roman"/>
          <w:color w:val="000000" w:themeColor="text1"/>
          <w:szCs w:val="24"/>
          <w:lang w:eastAsia="en-US"/>
        </w:rPr>
        <w:t>niższe koszty,</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obsługi informatycznej</w:t>
      </w:r>
      <w:r w:rsidR="00045122" w:rsidRPr="001B0139">
        <w:rPr>
          <w:rFonts w:ascii="Times New Roman" w:eastAsiaTheme="minorHAnsi" w:hAnsi="Times New Roman" w:cs="Times New Roman"/>
          <w:color w:val="000000" w:themeColor="text1"/>
          <w:szCs w:val="24"/>
          <w:lang w:eastAsia="en-US"/>
        </w:rPr>
        <w:t xml:space="preserve"> będzie rzutowało </w:t>
      </w:r>
      <w:r w:rsidR="001B0139" w:rsidRPr="001B0139">
        <w:rPr>
          <w:rFonts w:ascii="Times New Roman" w:eastAsiaTheme="minorHAnsi" w:hAnsi="Times New Roman" w:cs="Times New Roman"/>
          <w:color w:val="000000" w:themeColor="text1"/>
          <w:szCs w:val="24"/>
          <w:lang w:eastAsia="en-US"/>
        </w:rPr>
        <w:t xml:space="preserve">na </w:t>
      </w:r>
      <w:r w:rsidRPr="001B0139">
        <w:rPr>
          <w:rFonts w:ascii="Times New Roman" w:eastAsiaTheme="minorHAnsi" w:hAnsi="Times New Roman" w:cs="Times New Roman"/>
          <w:color w:val="000000" w:themeColor="text1"/>
          <w:szCs w:val="24"/>
          <w:lang w:eastAsia="en-US"/>
        </w:rPr>
        <w:t>niższe koszty utrzymania jednego CPD,</w:t>
      </w:r>
    </w:p>
    <w:p w:rsidR="001C4A12" w:rsidRPr="001B0139" w:rsidRDefault="001C4A12" w:rsidP="00BE6716">
      <w:pPr>
        <w:pStyle w:val="ARTartustawynprozporzdzenia"/>
        <w:numPr>
          <w:ilvl w:val="0"/>
          <w:numId w:val="13"/>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bezpieczeństwa przetwarzania i przechowywania danych EES;</w:t>
      </w:r>
    </w:p>
    <w:p w:rsidR="001C4A12" w:rsidRPr="001B0139" w:rsidRDefault="001C4A12" w:rsidP="00BE6716">
      <w:pPr>
        <w:pStyle w:val="ARTartustawynprozporzdzenia"/>
        <w:numPr>
          <w:ilvl w:val="0"/>
          <w:numId w:val="4"/>
        </w:numPr>
        <w:ind w:hanging="357"/>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możliwość skorzystania z posiadanego przez Straż Graniczną doświadczenia w zakresie budowy KSI PNR, w którym działa system wnioskowy (KSI PNR wraz z aplikacją dla organów właściwych („AOW”).</w:t>
      </w:r>
    </w:p>
    <w:p w:rsidR="001C4A12" w:rsidRPr="001B0139" w:rsidRDefault="001C4A12" w:rsidP="001C4A12">
      <w:pPr>
        <w:pStyle w:val="ARTartustawynprozporzdzenia"/>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Istotną kwestią przemawiającą za stworzeniem jednego CPD są również koszty jakie towarzyszą budowie, a następnie utrzymaniu systemu.</w:t>
      </w:r>
    </w:p>
    <w:p w:rsidR="001C4A12" w:rsidRPr="001B0139" w:rsidRDefault="001C4A12" w:rsidP="001C4A12">
      <w:pPr>
        <w:pStyle w:val="ARTartustawynprozporzdzenia"/>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t>Pamiętać jednocześnie należy, że zasadniczym celem jaki ma przyświecać realizacji projektu w całej Unii Europejskiej jest przede wszystkim zapewnienie bezpieczeństwa obywatelom UE. Struktura zarządzania służbami w kontekście struktury administracyjnej kraju zdecydowanie wymaga zachowania jednolitego rozwiązania w budowaniu i utrzymywaniu systemów bezpieczeństwa, w tym krajowych komponentów systemów wielkoskalowych. Ujednolicenie dostępu do EES nie może być zatem odbierane jako utrudnienie dla służb publicznych, a jako wzmocnienie bezpieczeństwa w kontekście najlepszych praktyk dla budowania, utrzymania i eksploatowania systemów bezpieczeństwa, zarówno w kontekście dostępu do samego EES, jak również w szerszym kontekście większego projektu jakim jest wdrożenie ram interoperacyjności</w:t>
      </w:r>
      <w:r w:rsidRPr="001B0139">
        <w:rPr>
          <w:rFonts w:ascii="Times New Roman" w:eastAsiaTheme="minorHAnsi" w:hAnsi="Times New Roman" w:cs="Times New Roman"/>
          <w:color w:val="000000" w:themeColor="text1"/>
          <w:szCs w:val="24"/>
          <w:vertAlign w:val="superscript"/>
          <w:lang w:eastAsia="en-US"/>
        </w:rPr>
        <w:footnoteReference w:id="1"/>
      </w:r>
      <w:r w:rsidRPr="001B0139">
        <w:rPr>
          <w:rFonts w:ascii="Times New Roman" w:eastAsiaTheme="minorHAnsi" w:hAnsi="Times New Roman" w:cs="Times New Roman"/>
          <w:color w:val="000000" w:themeColor="text1"/>
          <w:szCs w:val="24"/>
          <w:lang w:eastAsia="en-US"/>
        </w:rPr>
        <w:t xml:space="preserve">, zgodnie zasadami bezpieczeństwa przetwarzania danach, rozliczalności, integralności i poufności. </w:t>
      </w:r>
    </w:p>
    <w:p w:rsidR="001C4A12" w:rsidRPr="001B0139" w:rsidRDefault="001C4A12" w:rsidP="001C4A12">
      <w:pPr>
        <w:pStyle w:val="ARTartustawynprozporzdzenia"/>
        <w:rPr>
          <w:rFonts w:ascii="Times New Roman" w:eastAsiaTheme="minorHAnsi" w:hAnsi="Times New Roman" w:cs="Times New Roman"/>
          <w:color w:val="000000" w:themeColor="text1"/>
          <w:szCs w:val="24"/>
          <w:lang w:eastAsia="en-US"/>
        </w:rPr>
      </w:pPr>
      <w:r w:rsidRPr="001B0139">
        <w:rPr>
          <w:rFonts w:ascii="Times New Roman" w:eastAsiaTheme="minorHAnsi" w:hAnsi="Times New Roman" w:cs="Times New Roman"/>
          <w:color w:val="000000" w:themeColor="text1"/>
          <w:szCs w:val="24"/>
          <w:lang w:eastAsia="en-US"/>
        </w:rPr>
        <w:lastRenderedPageBreak/>
        <w:t>Zastosowanie innej koncepcji wiązałoby się z konie</w:t>
      </w:r>
      <w:r w:rsidR="004E34FF" w:rsidRPr="001B0139">
        <w:rPr>
          <w:rFonts w:ascii="Times New Roman" w:eastAsiaTheme="minorHAnsi" w:hAnsi="Times New Roman" w:cs="Times New Roman"/>
          <w:color w:val="000000" w:themeColor="text1"/>
          <w:szCs w:val="24"/>
          <w:lang w:eastAsia="en-US"/>
        </w:rPr>
        <w:t>cznością całkowitej przebudowy S</w:t>
      </w:r>
      <w:r w:rsidRPr="001B0139">
        <w:rPr>
          <w:rFonts w:ascii="Times New Roman" w:eastAsiaTheme="minorHAnsi" w:hAnsi="Times New Roman" w:cs="Times New Roman"/>
          <w:color w:val="000000" w:themeColor="text1"/>
          <w:szCs w:val="24"/>
          <w:lang w:eastAsia="en-US"/>
        </w:rPr>
        <w:t xml:space="preserve">ystemu, dostosowania infrastruktury w służbach, a co za tym idzie brakiem możliwości zrealizowania testów EES i znacznym opóźnieniem we wdrożeniu EES oraz znacznymi kosztami dla Skarbu Państwa, a ponadto uniemożliwiłoby zastosowanie jednolitego działania </w:t>
      </w:r>
      <w:r w:rsidR="004E34FF" w:rsidRPr="001B0139">
        <w:rPr>
          <w:rFonts w:ascii="Times New Roman" w:eastAsiaTheme="minorHAnsi" w:hAnsi="Times New Roman" w:cs="Times New Roman"/>
          <w:color w:val="000000" w:themeColor="text1"/>
          <w:szCs w:val="24"/>
          <w:lang w:eastAsia="en-US"/>
        </w:rPr>
        <w:t xml:space="preserve">i rozwiązywania </w:t>
      </w:r>
      <w:r w:rsidRPr="001B0139">
        <w:rPr>
          <w:rFonts w:ascii="Times New Roman" w:eastAsiaTheme="minorHAnsi" w:hAnsi="Times New Roman" w:cs="Times New Roman"/>
          <w:color w:val="000000" w:themeColor="text1"/>
          <w:szCs w:val="24"/>
          <w:lang w:eastAsia="en-US"/>
        </w:rPr>
        <w:t xml:space="preserve">problemów </w:t>
      </w:r>
      <w:r w:rsidR="004E34FF" w:rsidRPr="001B0139">
        <w:rPr>
          <w:rFonts w:ascii="Times New Roman" w:eastAsiaTheme="minorHAnsi" w:hAnsi="Times New Roman" w:cs="Times New Roman"/>
          <w:color w:val="000000" w:themeColor="text1"/>
          <w:szCs w:val="24"/>
          <w:lang w:eastAsia="en-US"/>
        </w:rPr>
        <w:t>S</w:t>
      </w:r>
      <w:r w:rsidRPr="001B0139">
        <w:rPr>
          <w:rFonts w:ascii="Times New Roman" w:eastAsiaTheme="minorHAnsi" w:hAnsi="Times New Roman" w:cs="Times New Roman"/>
          <w:color w:val="000000" w:themeColor="text1"/>
          <w:szCs w:val="24"/>
          <w:lang w:eastAsia="en-US"/>
        </w:rPr>
        <w:t>ystemu.</w:t>
      </w:r>
    </w:p>
    <w:p w:rsidR="00A94BA9" w:rsidRPr="001B0139" w:rsidRDefault="00A94BA9" w:rsidP="00A94BA9">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t xml:space="preserve">W art. 8 określono obowiązek informacyjny COT KSI EES, wynikający z art. 66 ust. 1 lit. c rozporządzenia. COT KSI EES, przed uruchomieniem KSI EES, </w:t>
      </w:r>
      <w:r w:rsidR="00C077B2" w:rsidRPr="001B0139">
        <w:rPr>
          <w:rFonts w:ascii="Times New Roman" w:eastAsiaTheme="minorHAnsi" w:hAnsi="Times New Roman" w:cs="Times New Roman"/>
          <w:sz w:val="24"/>
          <w:szCs w:val="24"/>
          <w:lang w:eastAsia="en-US"/>
        </w:rPr>
        <w:t>po</w:t>
      </w:r>
      <w:r w:rsidRPr="001B0139">
        <w:rPr>
          <w:rFonts w:ascii="Times New Roman" w:eastAsiaTheme="minorHAnsi" w:hAnsi="Times New Roman" w:cs="Times New Roman"/>
          <w:sz w:val="24"/>
          <w:szCs w:val="24"/>
          <w:lang w:eastAsia="en-US"/>
        </w:rPr>
        <w:t>informuje ministra właściwego do spraw wewnętrznych o gotowości KSI EES do produkcyjnego uruchomienia.</w:t>
      </w:r>
    </w:p>
    <w:p w:rsidR="00A94BA9" w:rsidRPr="001B0139" w:rsidRDefault="00C077B2" w:rsidP="00A94BA9">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t>A</w:t>
      </w:r>
      <w:r w:rsidR="00A94BA9" w:rsidRPr="001B0139">
        <w:rPr>
          <w:rFonts w:ascii="Times New Roman" w:eastAsiaTheme="minorHAnsi" w:hAnsi="Times New Roman" w:cs="Times New Roman"/>
          <w:sz w:val="24"/>
          <w:szCs w:val="24"/>
          <w:lang w:eastAsia="en-US"/>
        </w:rPr>
        <w:t xml:space="preserve">rt. 9 </w:t>
      </w:r>
      <w:r w:rsidRPr="001B0139">
        <w:rPr>
          <w:rFonts w:ascii="Times New Roman" w:eastAsiaTheme="minorHAnsi" w:hAnsi="Times New Roman" w:cs="Times New Roman"/>
          <w:sz w:val="24"/>
          <w:szCs w:val="24"/>
          <w:lang w:eastAsia="en-US"/>
        </w:rPr>
        <w:t>nakłada</w:t>
      </w:r>
      <w:r w:rsidR="00A94BA9" w:rsidRPr="001B0139">
        <w:rPr>
          <w:rFonts w:ascii="Times New Roman" w:eastAsiaTheme="minorHAnsi" w:hAnsi="Times New Roman" w:cs="Times New Roman"/>
          <w:sz w:val="24"/>
          <w:szCs w:val="24"/>
          <w:lang w:eastAsia="en-US"/>
        </w:rPr>
        <w:t xml:space="preserve"> obowiązek współpracy określonych organów z COT KSI EES oraz KSI EES w celu realizacji zadań związanych z udziałem w EES, w tym </w:t>
      </w:r>
      <w:r w:rsidRPr="001B0139">
        <w:rPr>
          <w:rFonts w:ascii="Times New Roman" w:eastAsiaTheme="minorHAnsi" w:hAnsi="Times New Roman" w:cs="Times New Roman"/>
          <w:sz w:val="24"/>
          <w:szCs w:val="24"/>
          <w:lang w:eastAsia="en-US"/>
        </w:rPr>
        <w:t xml:space="preserve">odnośnie do </w:t>
      </w:r>
      <w:r w:rsidR="00A94BA9" w:rsidRPr="001B0139">
        <w:rPr>
          <w:rFonts w:ascii="Times New Roman" w:eastAsiaTheme="minorHAnsi" w:hAnsi="Times New Roman" w:cs="Times New Roman"/>
          <w:sz w:val="24"/>
          <w:szCs w:val="24"/>
          <w:lang w:eastAsia="en-US"/>
        </w:rPr>
        <w:t xml:space="preserve">przekazywania dokumentów, udzielania informacji oraz przekazywania aktualnych danych niezbędnych </w:t>
      </w:r>
      <w:r w:rsidR="004E34FF" w:rsidRPr="001B0139">
        <w:rPr>
          <w:rFonts w:ascii="Times New Roman" w:eastAsiaTheme="minorHAnsi" w:hAnsi="Times New Roman" w:cs="Times New Roman"/>
          <w:sz w:val="24"/>
          <w:szCs w:val="24"/>
          <w:lang w:eastAsia="en-US"/>
        </w:rPr>
        <w:t>do </w:t>
      </w:r>
      <w:r w:rsidR="00A94BA9" w:rsidRPr="001B0139">
        <w:rPr>
          <w:rFonts w:ascii="Times New Roman" w:eastAsiaTheme="minorHAnsi" w:hAnsi="Times New Roman" w:cs="Times New Roman"/>
          <w:sz w:val="24"/>
          <w:szCs w:val="24"/>
          <w:lang w:eastAsia="en-US"/>
        </w:rPr>
        <w:t xml:space="preserve">prowadzenia wykazów jednostek organizacyjnych organów uprawnionych do przetwarzania </w:t>
      </w:r>
      <w:r w:rsidR="001B0139" w:rsidRPr="001B0139">
        <w:rPr>
          <w:rFonts w:ascii="Times New Roman" w:eastAsiaTheme="minorHAnsi" w:hAnsi="Times New Roman" w:cs="Times New Roman"/>
          <w:sz w:val="24"/>
          <w:szCs w:val="24"/>
          <w:lang w:eastAsia="en-US"/>
        </w:rPr>
        <w:t>danych EES</w:t>
      </w:r>
      <w:r w:rsidR="00A94BA9" w:rsidRPr="001B0139">
        <w:rPr>
          <w:rFonts w:ascii="Times New Roman" w:eastAsiaTheme="minorHAnsi" w:hAnsi="Times New Roman" w:cs="Times New Roman"/>
          <w:sz w:val="24"/>
          <w:szCs w:val="24"/>
          <w:lang w:eastAsia="en-US"/>
        </w:rPr>
        <w:t xml:space="preserve"> i wszystkich jednostek operacyjnych mających dostęp do EES, a także zgłaszania ujawnionych nieprawidłowości w związku z przetwarzaniem danych EES poprzez KSI.</w:t>
      </w:r>
    </w:p>
    <w:p w:rsidR="00A94BA9" w:rsidRPr="001B0139" w:rsidRDefault="00A94BA9" w:rsidP="00A94BA9">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t xml:space="preserve">W art. 10 projektowanej ustawy określono obowiązek informacyjny, o którym mowa </w:t>
      </w:r>
      <w:r w:rsidR="004E34FF" w:rsidRPr="001B0139">
        <w:rPr>
          <w:rFonts w:ascii="Times New Roman" w:eastAsiaTheme="minorHAnsi" w:hAnsi="Times New Roman" w:cs="Times New Roman"/>
          <w:sz w:val="24"/>
          <w:szCs w:val="24"/>
          <w:lang w:eastAsia="en-US"/>
        </w:rPr>
        <w:t>w </w:t>
      </w:r>
      <w:r w:rsidRPr="001B0139">
        <w:rPr>
          <w:rFonts w:ascii="Times New Roman" w:eastAsiaTheme="minorHAnsi" w:hAnsi="Times New Roman" w:cs="Times New Roman"/>
          <w:sz w:val="24"/>
          <w:szCs w:val="24"/>
          <w:lang w:eastAsia="en-US"/>
        </w:rPr>
        <w:t>art. 72 ust. 6 rozporządzenia. Zg</w:t>
      </w:r>
      <w:r w:rsidR="00D176F5" w:rsidRPr="001B0139">
        <w:rPr>
          <w:rFonts w:ascii="Times New Roman" w:eastAsiaTheme="minorHAnsi" w:hAnsi="Times New Roman" w:cs="Times New Roman"/>
          <w:sz w:val="24"/>
          <w:szCs w:val="24"/>
          <w:lang w:eastAsia="en-US"/>
        </w:rPr>
        <w:t>odnie z przedmiotowym przepisem</w:t>
      </w:r>
      <w:r w:rsidRPr="001B0139">
        <w:rPr>
          <w:rFonts w:ascii="Times New Roman" w:eastAsiaTheme="minorHAnsi" w:hAnsi="Times New Roman" w:cs="Times New Roman"/>
          <w:sz w:val="24"/>
          <w:szCs w:val="24"/>
          <w:lang w:eastAsia="en-US"/>
        </w:rPr>
        <w:t xml:space="preserve"> COT KSI EES </w:t>
      </w:r>
      <w:r w:rsidR="00D176F5" w:rsidRPr="001B0139">
        <w:rPr>
          <w:rFonts w:ascii="Times New Roman" w:eastAsiaTheme="minorHAnsi" w:hAnsi="Times New Roman" w:cs="Times New Roman"/>
          <w:sz w:val="24"/>
          <w:szCs w:val="24"/>
          <w:lang w:eastAsia="en-US"/>
        </w:rPr>
        <w:t xml:space="preserve">będzie </w:t>
      </w:r>
      <w:r w:rsidRPr="001B0139">
        <w:rPr>
          <w:rFonts w:ascii="Times New Roman" w:eastAsiaTheme="minorHAnsi" w:hAnsi="Times New Roman" w:cs="Times New Roman"/>
          <w:sz w:val="24"/>
          <w:szCs w:val="24"/>
          <w:lang w:eastAsia="en-US"/>
        </w:rPr>
        <w:t>przedstawia</w:t>
      </w:r>
      <w:r w:rsidR="00D176F5" w:rsidRPr="001B0139">
        <w:rPr>
          <w:rFonts w:ascii="Times New Roman" w:eastAsiaTheme="minorHAnsi" w:hAnsi="Times New Roman" w:cs="Times New Roman"/>
          <w:sz w:val="24"/>
          <w:szCs w:val="24"/>
          <w:lang w:eastAsia="en-US"/>
        </w:rPr>
        <w:t>ł</w:t>
      </w:r>
      <w:r w:rsidRPr="001B0139">
        <w:rPr>
          <w:rFonts w:ascii="Times New Roman" w:eastAsiaTheme="minorHAnsi" w:hAnsi="Times New Roman" w:cs="Times New Roman"/>
          <w:sz w:val="24"/>
          <w:szCs w:val="24"/>
          <w:lang w:eastAsia="en-US"/>
        </w:rPr>
        <w:t xml:space="preserve"> ministrowi właściwemu do spraw wewnętrznych w terminie do dnia 31 marca każdego roku, informacje dotyczące technicznego funkcjonowania KSI EES w poprzednim roku kalendarzowym. Krajowa Jednostka ds. EES </w:t>
      </w:r>
      <w:r w:rsidR="00D176F5" w:rsidRPr="001B0139">
        <w:rPr>
          <w:rFonts w:ascii="Times New Roman" w:eastAsiaTheme="minorHAnsi" w:hAnsi="Times New Roman" w:cs="Times New Roman"/>
          <w:sz w:val="24"/>
          <w:szCs w:val="24"/>
          <w:lang w:eastAsia="en-US"/>
        </w:rPr>
        <w:t xml:space="preserve">będzie </w:t>
      </w:r>
      <w:r w:rsidRPr="001B0139">
        <w:rPr>
          <w:rFonts w:ascii="Times New Roman" w:eastAsiaTheme="minorHAnsi" w:hAnsi="Times New Roman" w:cs="Times New Roman"/>
          <w:sz w:val="24"/>
          <w:szCs w:val="24"/>
          <w:lang w:eastAsia="en-US"/>
        </w:rPr>
        <w:t>przedstawia</w:t>
      </w:r>
      <w:r w:rsidR="00D176F5" w:rsidRPr="001B0139">
        <w:rPr>
          <w:rFonts w:ascii="Times New Roman" w:eastAsiaTheme="minorHAnsi" w:hAnsi="Times New Roman" w:cs="Times New Roman"/>
          <w:sz w:val="24"/>
          <w:szCs w:val="24"/>
          <w:lang w:eastAsia="en-US"/>
        </w:rPr>
        <w:t>ła</w:t>
      </w:r>
      <w:r w:rsidRPr="001B0139">
        <w:rPr>
          <w:rFonts w:ascii="Times New Roman" w:eastAsiaTheme="minorHAnsi" w:hAnsi="Times New Roman" w:cs="Times New Roman"/>
          <w:sz w:val="24"/>
          <w:szCs w:val="24"/>
          <w:lang w:eastAsia="en-US"/>
        </w:rPr>
        <w:t xml:space="preserve"> ministrowi właściwemu do spraw wewnętrznych w terminie do dnia 31 marca każdego roku, informacje dotyczące oceny funkcjonowania KSI EES w poprzednim roku kalendarzowym.</w:t>
      </w:r>
    </w:p>
    <w:p w:rsidR="00C20EB5" w:rsidRPr="001B0139" w:rsidRDefault="00C20EB5" w:rsidP="00C20EB5">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lastRenderedPageBreak/>
        <w:t xml:space="preserve">W </w:t>
      </w:r>
      <w:r w:rsidR="004D6497" w:rsidRPr="001B0139">
        <w:rPr>
          <w:rFonts w:ascii="Times New Roman" w:eastAsiaTheme="minorHAnsi" w:hAnsi="Times New Roman" w:cs="Times New Roman"/>
          <w:sz w:val="24"/>
          <w:szCs w:val="24"/>
          <w:lang w:eastAsia="en-US"/>
        </w:rPr>
        <w:t>a</w:t>
      </w:r>
      <w:r w:rsidRPr="001B0139">
        <w:rPr>
          <w:rFonts w:ascii="Times New Roman" w:eastAsiaTheme="minorHAnsi" w:hAnsi="Times New Roman" w:cs="Times New Roman"/>
          <w:sz w:val="24"/>
          <w:szCs w:val="24"/>
          <w:lang w:eastAsia="en-US"/>
        </w:rPr>
        <w:t xml:space="preserve">rt. </w:t>
      </w:r>
      <w:r w:rsidR="005229A8" w:rsidRPr="001B0139">
        <w:rPr>
          <w:rFonts w:ascii="Times New Roman" w:eastAsiaTheme="minorHAnsi" w:hAnsi="Times New Roman" w:cs="Times New Roman"/>
          <w:sz w:val="24"/>
          <w:szCs w:val="24"/>
          <w:lang w:eastAsia="en-US"/>
        </w:rPr>
        <w:t xml:space="preserve">11, </w:t>
      </w:r>
      <w:r w:rsidRPr="001B0139">
        <w:rPr>
          <w:rFonts w:ascii="Times New Roman" w:eastAsiaTheme="minorHAnsi" w:hAnsi="Times New Roman" w:cs="Times New Roman"/>
          <w:sz w:val="24"/>
          <w:szCs w:val="24"/>
          <w:lang w:eastAsia="en-US"/>
        </w:rPr>
        <w:t xml:space="preserve">12 </w:t>
      </w:r>
      <w:r w:rsidR="005229A8" w:rsidRPr="001B0139">
        <w:rPr>
          <w:rFonts w:ascii="Times New Roman" w:eastAsiaTheme="minorHAnsi" w:hAnsi="Times New Roman" w:cs="Times New Roman"/>
          <w:sz w:val="24"/>
          <w:szCs w:val="24"/>
          <w:lang w:eastAsia="en-US"/>
        </w:rPr>
        <w:t xml:space="preserve">i 14 </w:t>
      </w:r>
      <w:r w:rsidRPr="001B0139">
        <w:rPr>
          <w:rFonts w:ascii="Times New Roman" w:eastAsiaTheme="minorHAnsi" w:hAnsi="Times New Roman" w:cs="Times New Roman"/>
          <w:sz w:val="24"/>
          <w:szCs w:val="24"/>
          <w:lang w:eastAsia="en-US"/>
        </w:rPr>
        <w:t>wskazano organ sprawujący nadzór nad prawidłowością działania KSI EES oraz zakres uprawnień przyznanych w celu wykonywania nadzoru.</w:t>
      </w:r>
    </w:p>
    <w:p w:rsidR="005229A8" w:rsidRPr="001B0139" w:rsidRDefault="00C20EB5" w:rsidP="00C20EB5">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t>Art. 13</w:t>
      </w:r>
      <w:r w:rsidR="004D6497" w:rsidRPr="001B0139">
        <w:rPr>
          <w:rFonts w:ascii="Times New Roman" w:eastAsiaTheme="minorHAnsi" w:hAnsi="Times New Roman" w:cs="Times New Roman"/>
          <w:sz w:val="24"/>
          <w:szCs w:val="24"/>
          <w:lang w:eastAsia="en-US"/>
        </w:rPr>
        <w:t xml:space="preserve"> </w:t>
      </w:r>
      <w:r w:rsidR="005229A8" w:rsidRPr="001B0139">
        <w:rPr>
          <w:rFonts w:ascii="Times New Roman" w:eastAsiaTheme="minorHAnsi" w:hAnsi="Times New Roman" w:cs="Times New Roman"/>
          <w:sz w:val="24"/>
          <w:szCs w:val="24"/>
          <w:lang w:eastAsia="en-US"/>
        </w:rPr>
        <w:t>zawiera delegację</w:t>
      </w:r>
      <w:r w:rsidRPr="001B0139">
        <w:rPr>
          <w:rFonts w:ascii="Times New Roman" w:eastAsiaTheme="minorHAnsi" w:hAnsi="Times New Roman" w:cs="Times New Roman"/>
          <w:sz w:val="24"/>
          <w:szCs w:val="24"/>
          <w:lang w:eastAsia="en-US"/>
        </w:rPr>
        <w:t xml:space="preserve"> ustawową do wydania przez </w:t>
      </w:r>
      <w:r w:rsidR="004D6497" w:rsidRPr="001B0139">
        <w:rPr>
          <w:rFonts w:ascii="Times New Roman" w:eastAsiaTheme="minorHAnsi" w:hAnsi="Times New Roman" w:cs="Times New Roman"/>
          <w:sz w:val="24"/>
          <w:szCs w:val="24"/>
          <w:lang w:eastAsia="en-US"/>
        </w:rPr>
        <w:t>m</w:t>
      </w:r>
      <w:r w:rsidRPr="001B0139">
        <w:rPr>
          <w:rFonts w:ascii="Times New Roman" w:eastAsiaTheme="minorHAnsi" w:hAnsi="Times New Roman" w:cs="Times New Roman"/>
          <w:sz w:val="24"/>
          <w:szCs w:val="24"/>
          <w:lang w:eastAsia="en-US"/>
        </w:rPr>
        <w:t>inistra właściwego do spraw wewnętrznych rozporządzenia określającego sposób wykorzystywania KSI EES jako krajowego interfejsu EES</w:t>
      </w:r>
      <w:r w:rsidR="005229A8" w:rsidRPr="001B0139">
        <w:rPr>
          <w:rFonts w:ascii="Times New Roman" w:eastAsiaTheme="minorHAnsi" w:hAnsi="Times New Roman" w:cs="Times New Roman"/>
          <w:sz w:val="24"/>
          <w:szCs w:val="24"/>
          <w:lang w:eastAsia="en-US"/>
        </w:rPr>
        <w:t>.</w:t>
      </w:r>
    </w:p>
    <w:p w:rsidR="00A94BA9" w:rsidRPr="001B0139" w:rsidRDefault="004D6497" w:rsidP="00A94BA9">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t>W</w:t>
      </w:r>
      <w:r w:rsidR="00A94BA9" w:rsidRPr="001B0139">
        <w:rPr>
          <w:rFonts w:ascii="Times New Roman" w:eastAsiaTheme="minorHAnsi" w:hAnsi="Times New Roman" w:cs="Times New Roman"/>
          <w:sz w:val="24"/>
          <w:szCs w:val="24"/>
          <w:lang w:eastAsia="en-US"/>
        </w:rPr>
        <w:t xml:space="preserve"> art. 15 </w:t>
      </w:r>
      <w:r w:rsidRPr="001B0139">
        <w:rPr>
          <w:rFonts w:ascii="Times New Roman" w:eastAsiaTheme="minorHAnsi" w:hAnsi="Times New Roman" w:cs="Times New Roman"/>
          <w:sz w:val="24"/>
          <w:szCs w:val="24"/>
          <w:lang w:eastAsia="en-US"/>
        </w:rPr>
        <w:t xml:space="preserve">zostały </w:t>
      </w:r>
      <w:r w:rsidR="00A94BA9" w:rsidRPr="001B0139">
        <w:rPr>
          <w:rFonts w:ascii="Times New Roman" w:eastAsiaTheme="minorHAnsi" w:hAnsi="Times New Roman" w:cs="Times New Roman"/>
          <w:sz w:val="24"/>
          <w:szCs w:val="24"/>
          <w:lang w:eastAsia="en-US"/>
        </w:rPr>
        <w:t xml:space="preserve">określone kwestie dotyczące wymogów </w:t>
      </w:r>
      <w:r w:rsidR="00C077B2" w:rsidRPr="001B0139">
        <w:rPr>
          <w:rFonts w:ascii="Times New Roman" w:eastAsiaTheme="minorHAnsi" w:hAnsi="Times New Roman" w:cs="Times New Roman"/>
          <w:sz w:val="24"/>
          <w:szCs w:val="24"/>
          <w:lang w:eastAsia="en-US"/>
        </w:rPr>
        <w:t>wynikających z</w:t>
      </w:r>
      <w:r w:rsidR="00A94BA9" w:rsidRPr="001B0139">
        <w:rPr>
          <w:rFonts w:ascii="Times New Roman" w:eastAsiaTheme="minorHAnsi" w:hAnsi="Times New Roman" w:cs="Times New Roman"/>
          <w:sz w:val="24"/>
          <w:szCs w:val="24"/>
          <w:lang w:eastAsia="en-US"/>
        </w:rPr>
        <w:t xml:space="preserve"> </w:t>
      </w:r>
      <w:r w:rsidR="00C077B2" w:rsidRPr="001B0139">
        <w:rPr>
          <w:rFonts w:ascii="Times New Roman" w:eastAsiaTheme="minorHAnsi" w:hAnsi="Times New Roman" w:cs="Times New Roman"/>
          <w:sz w:val="24"/>
          <w:szCs w:val="24"/>
          <w:lang w:eastAsia="en-US"/>
        </w:rPr>
        <w:t xml:space="preserve">przepisów </w:t>
      </w:r>
      <w:r w:rsidR="004E34FF" w:rsidRPr="001B0139">
        <w:rPr>
          <w:rFonts w:ascii="Times New Roman" w:eastAsiaTheme="minorHAnsi" w:hAnsi="Times New Roman" w:cs="Times New Roman"/>
          <w:sz w:val="24"/>
          <w:szCs w:val="24"/>
          <w:lang w:eastAsia="en-US"/>
        </w:rPr>
        <w:t>o </w:t>
      </w:r>
      <w:r w:rsidR="00A94BA9" w:rsidRPr="001B0139">
        <w:rPr>
          <w:rFonts w:ascii="Times New Roman" w:eastAsiaTheme="minorHAnsi" w:hAnsi="Times New Roman" w:cs="Times New Roman"/>
          <w:sz w:val="24"/>
          <w:szCs w:val="24"/>
          <w:lang w:eastAsia="en-US"/>
        </w:rPr>
        <w:t xml:space="preserve">ochronie danych osobowych. Zgodnie z projektowanym przepisem COT KSI EES, przed uruchomieniem KSI EES, występuje do Prezesa Urzędu Ochrony Danych Osobowych </w:t>
      </w:r>
      <w:r w:rsidR="004E34FF" w:rsidRPr="001B0139">
        <w:rPr>
          <w:rFonts w:ascii="Times New Roman" w:eastAsiaTheme="minorHAnsi" w:hAnsi="Times New Roman" w:cs="Times New Roman"/>
          <w:sz w:val="24"/>
          <w:szCs w:val="24"/>
          <w:lang w:eastAsia="en-US"/>
        </w:rPr>
        <w:t>z </w:t>
      </w:r>
      <w:r w:rsidR="00A94BA9" w:rsidRPr="001B0139">
        <w:rPr>
          <w:rFonts w:ascii="Times New Roman" w:eastAsiaTheme="minorHAnsi" w:hAnsi="Times New Roman" w:cs="Times New Roman"/>
          <w:sz w:val="24"/>
          <w:szCs w:val="24"/>
          <w:lang w:eastAsia="en-US"/>
        </w:rPr>
        <w:t xml:space="preserve">wnioskiem o przeprowadzenie kontroli w zakresie spełniania przez KSI EES wymogów określonych w przepisach o ochronie danych osobowych. Określone zostały również prawa Prezesa Urzędu Ochrony Danych Osobowych, zastępcy Prezesa Urzędu lub upoważnionych przez niego pracowników w zakresie prowadzenia kontroli spełnienia przez KSI EES wymogów określonych w przepisach o ochronie danych osobowych. </w:t>
      </w:r>
      <w:r w:rsidR="004E34FF" w:rsidRPr="001B0139">
        <w:rPr>
          <w:rFonts w:ascii="Times New Roman" w:eastAsiaTheme="minorHAnsi" w:hAnsi="Times New Roman" w:cs="Times New Roman"/>
          <w:sz w:val="24"/>
          <w:szCs w:val="24"/>
          <w:lang w:eastAsia="en-US"/>
        </w:rPr>
        <w:t>W </w:t>
      </w:r>
      <w:r w:rsidR="00960D0A" w:rsidRPr="001B0139">
        <w:rPr>
          <w:rFonts w:ascii="Times New Roman" w:eastAsiaTheme="minorHAnsi" w:hAnsi="Times New Roman" w:cs="Times New Roman"/>
          <w:sz w:val="24"/>
          <w:szCs w:val="24"/>
          <w:lang w:eastAsia="en-US"/>
        </w:rPr>
        <w:t xml:space="preserve">przepisach </w:t>
      </w:r>
      <w:r w:rsidR="00A94BA9" w:rsidRPr="001B0139">
        <w:rPr>
          <w:rFonts w:ascii="Times New Roman" w:eastAsiaTheme="minorHAnsi" w:hAnsi="Times New Roman" w:cs="Times New Roman"/>
          <w:sz w:val="24"/>
          <w:szCs w:val="24"/>
          <w:lang w:eastAsia="en-US"/>
        </w:rPr>
        <w:t xml:space="preserve">projektowanego art. 15 </w:t>
      </w:r>
      <w:r w:rsidR="00960D0A" w:rsidRPr="001B0139">
        <w:rPr>
          <w:rFonts w:ascii="Times New Roman" w:eastAsiaTheme="minorHAnsi" w:hAnsi="Times New Roman" w:cs="Times New Roman"/>
          <w:sz w:val="24"/>
          <w:szCs w:val="24"/>
          <w:lang w:eastAsia="en-US"/>
        </w:rPr>
        <w:t xml:space="preserve">określono także </w:t>
      </w:r>
      <w:r w:rsidR="00A94BA9" w:rsidRPr="001B0139">
        <w:rPr>
          <w:rFonts w:ascii="Times New Roman" w:eastAsiaTheme="minorHAnsi" w:hAnsi="Times New Roman" w:cs="Times New Roman"/>
          <w:sz w:val="24"/>
          <w:szCs w:val="24"/>
          <w:lang w:eastAsia="en-US"/>
        </w:rPr>
        <w:t>podmiot właściw</w:t>
      </w:r>
      <w:r w:rsidR="00960D0A" w:rsidRPr="001B0139">
        <w:rPr>
          <w:rFonts w:ascii="Times New Roman" w:eastAsiaTheme="minorHAnsi" w:hAnsi="Times New Roman" w:cs="Times New Roman"/>
          <w:sz w:val="24"/>
          <w:szCs w:val="24"/>
          <w:lang w:eastAsia="en-US"/>
        </w:rPr>
        <w:t>y</w:t>
      </w:r>
      <w:r w:rsidR="00A94BA9" w:rsidRPr="001B0139">
        <w:rPr>
          <w:rFonts w:ascii="Times New Roman" w:eastAsiaTheme="minorHAnsi" w:hAnsi="Times New Roman" w:cs="Times New Roman"/>
          <w:sz w:val="24"/>
          <w:szCs w:val="24"/>
          <w:lang w:eastAsia="en-US"/>
        </w:rPr>
        <w:t xml:space="preserve"> do wykonywania uprawnień, </w:t>
      </w:r>
      <w:r w:rsidR="004E34FF" w:rsidRPr="001B0139">
        <w:rPr>
          <w:rFonts w:ascii="Times New Roman" w:eastAsiaTheme="minorHAnsi" w:hAnsi="Times New Roman" w:cs="Times New Roman"/>
          <w:sz w:val="24"/>
          <w:szCs w:val="24"/>
          <w:lang w:eastAsia="en-US"/>
        </w:rPr>
        <w:t>o </w:t>
      </w:r>
      <w:r w:rsidR="00A94BA9" w:rsidRPr="001B0139">
        <w:rPr>
          <w:rFonts w:ascii="Times New Roman" w:eastAsiaTheme="minorHAnsi" w:hAnsi="Times New Roman" w:cs="Times New Roman"/>
          <w:sz w:val="24"/>
          <w:szCs w:val="24"/>
          <w:lang w:eastAsia="en-US"/>
        </w:rPr>
        <w:t xml:space="preserve">których mowa w art. 84 ustawy z dnia 10 maja 2018 r. o </w:t>
      </w:r>
      <w:r w:rsidR="007C77BA">
        <w:rPr>
          <w:rFonts w:ascii="Times New Roman" w:eastAsiaTheme="minorHAnsi" w:hAnsi="Times New Roman" w:cs="Times New Roman"/>
          <w:sz w:val="24"/>
          <w:szCs w:val="24"/>
          <w:lang w:eastAsia="en-US"/>
        </w:rPr>
        <w:t>ochronie danych osobowych (Dz. </w:t>
      </w:r>
      <w:r w:rsidR="00A94BA9" w:rsidRPr="001B0139">
        <w:rPr>
          <w:rFonts w:ascii="Times New Roman" w:eastAsiaTheme="minorHAnsi" w:hAnsi="Times New Roman" w:cs="Times New Roman"/>
          <w:sz w:val="24"/>
          <w:szCs w:val="24"/>
          <w:lang w:eastAsia="en-US"/>
        </w:rPr>
        <w:t>U. z</w:t>
      </w:r>
      <w:r w:rsidR="004E34FF" w:rsidRPr="001B0139">
        <w:rPr>
          <w:rFonts w:ascii="Times New Roman" w:eastAsiaTheme="minorHAnsi" w:hAnsi="Times New Roman" w:cs="Times New Roman"/>
          <w:sz w:val="24"/>
          <w:szCs w:val="24"/>
          <w:lang w:eastAsia="en-US"/>
        </w:rPr>
        <w:t> </w:t>
      </w:r>
      <w:r w:rsidR="00A94BA9" w:rsidRPr="001B0139">
        <w:rPr>
          <w:rFonts w:ascii="Times New Roman" w:eastAsiaTheme="minorHAnsi" w:hAnsi="Times New Roman" w:cs="Times New Roman"/>
          <w:sz w:val="24"/>
          <w:szCs w:val="24"/>
          <w:lang w:eastAsia="en-US"/>
        </w:rPr>
        <w:t xml:space="preserve">2019 r. poz. 1781). Prezes Urzędu Ochrony Danych Osobowych wykonując </w:t>
      </w:r>
      <w:r w:rsidR="00960D0A" w:rsidRPr="001B0139">
        <w:rPr>
          <w:rFonts w:ascii="Times New Roman" w:eastAsiaTheme="minorHAnsi" w:hAnsi="Times New Roman" w:cs="Times New Roman"/>
          <w:sz w:val="24"/>
          <w:szCs w:val="24"/>
          <w:lang w:eastAsia="en-US"/>
        </w:rPr>
        <w:t xml:space="preserve">powyższe </w:t>
      </w:r>
      <w:r w:rsidR="00A94BA9" w:rsidRPr="001B0139">
        <w:rPr>
          <w:rFonts w:ascii="Times New Roman" w:eastAsiaTheme="minorHAnsi" w:hAnsi="Times New Roman" w:cs="Times New Roman"/>
          <w:sz w:val="24"/>
          <w:szCs w:val="24"/>
          <w:lang w:eastAsia="en-US"/>
        </w:rPr>
        <w:t xml:space="preserve">uprawnienia, przedstawia COT KSI EES i Krajowej Jednostce ds. EES pisemną opinię </w:t>
      </w:r>
      <w:r w:rsidR="004E34FF" w:rsidRPr="001B0139">
        <w:rPr>
          <w:rFonts w:ascii="Times New Roman" w:eastAsiaTheme="minorHAnsi" w:hAnsi="Times New Roman" w:cs="Times New Roman"/>
          <w:sz w:val="24"/>
          <w:szCs w:val="24"/>
          <w:lang w:eastAsia="en-US"/>
        </w:rPr>
        <w:t>w </w:t>
      </w:r>
      <w:r w:rsidR="00A94BA9" w:rsidRPr="001B0139">
        <w:rPr>
          <w:rFonts w:ascii="Times New Roman" w:eastAsiaTheme="minorHAnsi" w:hAnsi="Times New Roman" w:cs="Times New Roman"/>
          <w:sz w:val="24"/>
          <w:szCs w:val="24"/>
          <w:lang w:eastAsia="en-US"/>
        </w:rPr>
        <w:t xml:space="preserve">zakresie spełnienia przez KSI EES wymogów określonych w przepisach o ochronie danych osobowych, a w przypadku stwierdzenia nieprawidłowości w KSI EES przekazuje COT KSI EES i Krajowej Jednostce </w:t>
      </w:r>
      <w:r w:rsidR="002E2D3B" w:rsidRPr="001B0139">
        <w:rPr>
          <w:rFonts w:ascii="Times New Roman" w:eastAsiaTheme="minorHAnsi" w:hAnsi="Times New Roman" w:cs="Times New Roman"/>
          <w:sz w:val="24"/>
          <w:szCs w:val="24"/>
          <w:lang w:eastAsia="en-US"/>
        </w:rPr>
        <w:t>ds</w:t>
      </w:r>
      <w:r w:rsidR="00A94BA9" w:rsidRPr="001B0139">
        <w:rPr>
          <w:rFonts w:ascii="Times New Roman" w:eastAsiaTheme="minorHAnsi" w:hAnsi="Times New Roman" w:cs="Times New Roman"/>
          <w:sz w:val="24"/>
          <w:szCs w:val="24"/>
          <w:lang w:eastAsia="en-US"/>
        </w:rPr>
        <w:t>. EES zalecenia pokontrolne w formie pisemnej.</w:t>
      </w:r>
    </w:p>
    <w:p w:rsidR="00A94BA9" w:rsidRPr="001B0139" w:rsidRDefault="00666B7C" w:rsidP="00A94BA9">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1B0139">
        <w:rPr>
          <w:rFonts w:ascii="Times New Roman" w:eastAsiaTheme="minorHAnsi" w:hAnsi="Times New Roman" w:cs="Times New Roman"/>
          <w:sz w:val="24"/>
          <w:szCs w:val="24"/>
          <w:lang w:eastAsia="en-US"/>
        </w:rPr>
        <w:t>Art.</w:t>
      </w:r>
      <w:r w:rsidR="00A94BA9" w:rsidRPr="001B0139">
        <w:rPr>
          <w:rFonts w:ascii="Times New Roman" w:eastAsiaTheme="minorHAnsi" w:hAnsi="Times New Roman" w:cs="Times New Roman"/>
          <w:sz w:val="24"/>
          <w:szCs w:val="24"/>
          <w:lang w:eastAsia="en-US"/>
        </w:rPr>
        <w:t xml:space="preserve"> 16 określa sposób postępowania w przypadku przedstawienia przez ministra właściwego do spraw wewnętrznych lub Prezesa Urzędu Ochrony Danych Osobowych zaleceń pokontrolnych. Zgodnie z projektowanym przepisem COT KSI EES i Krajowa Jednostka </w:t>
      </w:r>
      <w:r w:rsidR="002E2D3B" w:rsidRPr="001B0139">
        <w:rPr>
          <w:rFonts w:ascii="Times New Roman" w:eastAsiaTheme="minorHAnsi" w:hAnsi="Times New Roman" w:cs="Times New Roman"/>
          <w:sz w:val="24"/>
          <w:szCs w:val="24"/>
          <w:lang w:eastAsia="en-US"/>
        </w:rPr>
        <w:t>ds</w:t>
      </w:r>
      <w:r w:rsidR="002812ED" w:rsidRPr="001B0139">
        <w:rPr>
          <w:rFonts w:ascii="Times New Roman" w:eastAsiaTheme="minorHAnsi" w:hAnsi="Times New Roman" w:cs="Times New Roman"/>
          <w:sz w:val="24"/>
          <w:szCs w:val="24"/>
          <w:lang w:eastAsia="en-US"/>
        </w:rPr>
        <w:t>. </w:t>
      </w:r>
      <w:r w:rsidR="00A94BA9" w:rsidRPr="001B0139">
        <w:rPr>
          <w:rFonts w:ascii="Times New Roman" w:eastAsiaTheme="minorHAnsi" w:hAnsi="Times New Roman" w:cs="Times New Roman"/>
          <w:sz w:val="24"/>
          <w:szCs w:val="24"/>
          <w:lang w:eastAsia="en-US"/>
        </w:rPr>
        <w:t xml:space="preserve">EES mają </w:t>
      </w:r>
      <w:r w:rsidR="00A94BA9" w:rsidRPr="001B0139">
        <w:rPr>
          <w:rFonts w:ascii="Times New Roman" w:eastAsiaTheme="minorHAnsi" w:hAnsi="Times New Roman" w:cs="Times New Roman"/>
          <w:sz w:val="24"/>
          <w:szCs w:val="24"/>
          <w:lang w:eastAsia="en-US"/>
        </w:rPr>
        <w:lastRenderedPageBreak/>
        <w:t xml:space="preserve">prawo zgłoszenia na piśmie umotywowanych </w:t>
      </w:r>
      <w:r w:rsidR="002812ED" w:rsidRPr="001B0139">
        <w:rPr>
          <w:rFonts w:ascii="Times New Roman" w:eastAsiaTheme="minorHAnsi" w:hAnsi="Times New Roman" w:cs="Times New Roman"/>
          <w:sz w:val="24"/>
          <w:szCs w:val="24"/>
          <w:lang w:eastAsia="en-US"/>
        </w:rPr>
        <w:t>zastrzeżeń odnośnie do </w:t>
      </w:r>
      <w:r w:rsidR="00A94BA9" w:rsidRPr="001B0139">
        <w:rPr>
          <w:rFonts w:ascii="Times New Roman" w:eastAsiaTheme="minorHAnsi" w:hAnsi="Times New Roman" w:cs="Times New Roman"/>
          <w:sz w:val="24"/>
          <w:szCs w:val="24"/>
          <w:lang w:eastAsia="en-US"/>
        </w:rPr>
        <w:t xml:space="preserve">przekazanych zaleceń pokontrolnych, w terminie 7 dni od dnia otrzymania zaleceń pokontrolnych. </w:t>
      </w:r>
      <w:r w:rsidR="002812ED" w:rsidRPr="001B0139">
        <w:rPr>
          <w:rFonts w:ascii="Times New Roman" w:eastAsiaTheme="minorHAnsi" w:hAnsi="Times New Roman" w:cs="Times New Roman"/>
          <w:sz w:val="24"/>
          <w:szCs w:val="24"/>
          <w:lang w:eastAsia="en-US"/>
        </w:rPr>
        <w:t>W </w:t>
      </w:r>
      <w:r w:rsidR="00A94BA9" w:rsidRPr="001B0139">
        <w:rPr>
          <w:rFonts w:ascii="Times New Roman" w:eastAsiaTheme="minorHAnsi" w:hAnsi="Times New Roman" w:cs="Times New Roman"/>
          <w:sz w:val="24"/>
          <w:szCs w:val="24"/>
          <w:lang w:eastAsia="en-US"/>
        </w:rPr>
        <w:t>przypadku niezgłoszenia przez COT KS</w:t>
      </w:r>
      <w:r w:rsidR="002812ED" w:rsidRPr="001B0139">
        <w:rPr>
          <w:rFonts w:ascii="Times New Roman" w:eastAsiaTheme="minorHAnsi" w:hAnsi="Times New Roman" w:cs="Times New Roman"/>
          <w:sz w:val="24"/>
          <w:szCs w:val="24"/>
          <w:lang w:eastAsia="en-US"/>
        </w:rPr>
        <w:t>I EES lub Krajową Jednostkę ds. </w:t>
      </w:r>
      <w:r w:rsidR="00A94BA9" w:rsidRPr="001B0139">
        <w:rPr>
          <w:rFonts w:ascii="Times New Roman" w:eastAsiaTheme="minorHAnsi" w:hAnsi="Times New Roman" w:cs="Times New Roman"/>
          <w:sz w:val="24"/>
          <w:szCs w:val="24"/>
          <w:lang w:eastAsia="en-US"/>
        </w:rPr>
        <w:t>EES zastrzeżeń, jak również w przypadku nieuwzględnienia zastrzeżeń przez odpowiednio ministra właściwego do spraw wewnętrznych lub Prezesa Urzędu Ochrony Danych Osobowych, COT KSI EES lub Krajowa Jednostka ds. EES są obowiązane wykonać zalecenia pokontrolne, a następnie wystąpić z wnioskiem do organu, który przedstawił zalecenia pokontrolne, o przeprowadzenie kontroli, o której mowa w art. 15 ust. 1 projektowanej ustawy.</w:t>
      </w:r>
    </w:p>
    <w:p w:rsidR="00A94BA9" w:rsidRPr="001B0139" w:rsidRDefault="004D6497" w:rsidP="00A94BA9">
      <w:pPr>
        <w:widowControl/>
        <w:autoSpaceDE/>
        <w:autoSpaceDN/>
        <w:adjustRightInd/>
        <w:spacing w:line="360" w:lineRule="auto"/>
        <w:ind w:firstLine="568"/>
        <w:jc w:val="both"/>
        <w:rPr>
          <w:rFonts w:ascii="Times New Roman" w:hAnsi="Times New Roman" w:cs="Times New Roman"/>
          <w:sz w:val="24"/>
          <w:szCs w:val="24"/>
        </w:rPr>
      </w:pPr>
      <w:r w:rsidRPr="001B0139">
        <w:rPr>
          <w:rFonts w:ascii="Times New Roman" w:eastAsiaTheme="minorHAnsi" w:hAnsi="Times New Roman" w:cs="Times New Roman"/>
          <w:sz w:val="24"/>
          <w:szCs w:val="24"/>
          <w:lang w:eastAsia="en-US"/>
        </w:rPr>
        <w:t>W</w:t>
      </w:r>
      <w:r w:rsidR="00A94BA9" w:rsidRPr="001B0139">
        <w:rPr>
          <w:rFonts w:ascii="Times New Roman" w:eastAsiaTheme="minorHAnsi" w:hAnsi="Times New Roman" w:cs="Times New Roman"/>
          <w:sz w:val="24"/>
          <w:szCs w:val="24"/>
          <w:lang w:eastAsia="en-US"/>
        </w:rPr>
        <w:t xml:space="preserve"> art. 17 określono zasady bezpieczeństwa, w tym ochrony danych osobowych, które zdaniem projektodawcy skutecznie wyeliminują wszelkie niebezpieczeństwa, które mogłyby wpływać na realizację przepisów ustawy. </w:t>
      </w:r>
      <w:r w:rsidR="00A94BA9" w:rsidRPr="001B0139">
        <w:rPr>
          <w:rFonts w:ascii="Times New Roman" w:hAnsi="Times New Roman" w:cs="Times New Roman"/>
          <w:sz w:val="24"/>
          <w:szCs w:val="24"/>
        </w:rPr>
        <w:t xml:space="preserve">W </w:t>
      </w:r>
      <w:r w:rsidR="00B16328" w:rsidRPr="001B0139">
        <w:rPr>
          <w:rFonts w:ascii="Times New Roman" w:hAnsi="Times New Roman" w:cs="Times New Roman"/>
          <w:sz w:val="24"/>
          <w:szCs w:val="24"/>
        </w:rPr>
        <w:t>przepisie</w:t>
      </w:r>
      <w:r w:rsidR="00A94BA9" w:rsidRPr="001B0139">
        <w:rPr>
          <w:rFonts w:ascii="Times New Roman" w:hAnsi="Times New Roman" w:cs="Times New Roman"/>
          <w:sz w:val="24"/>
          <w:szCs w:val="24"/>
        </w:rPr>
        <w:t xml:space="preserve"> m. in.:</w:t>
      </w:r>
    </w:p>
    <w:p w:rsidR="00A94BA9" w:rsidRPr="001B0139" w:rsidRDefault="00281160" w:rsidP="00431047">
      <w:pPr>
        <w:pStyle w:val="Akapitzlist"/>
        <w:numPr>
          <w:ilvl w:val="0"/>
          <w:numId w:val="14"/>
        </w:numPr>
        <w:spacing w:line="360" w:lineRule="auto"/>
        <w:jc w:val="both"/>
        <w:rPr>
          <w:rFonts w:ascii="Times New Roman" w:hAnsi="Times New Roman" w:cs="Times New Roman"/>
          <w:sz w:val="24"/>
          <w:szCs w:val="24"/>
        </w:rPr>
      </w:pPr>
      <w:r w:rsidRPr="001B0139">
        <w:rPr>
          <w:rFonts w:ascii="Times New Roman" w:eastAsia="Times New Roman" w:hAnsi="Times New Roman" w:cs="Times New Roman"/>
          <w:sz w:val="24"/>
          <w:szCs w:val="24"/>
          <w:lang w:val="pl" w:eastAsia="pl-PL"/>
        </w:rPr>
        <w:t xml:space="preserve">określono </w:t>
      </w:r>
      <w:r w:rsidR="00A94BA9" w:rsidRPr="001B0139">
        <w:rPr>
          <w:rFonts w:ascii="Times New Roman" w:eastAsia="Times New Roman" w:hAnsi="Times New Roman" w:cs="Times New Roman"/>
          <w:sz w:val="24"/>
          <w:szCs w:val="24"/>
          <w:lang w:val="pl" w:eastAsia="pl-PL"/>
        </w:rPr>
        <w:t>obowiązek wykonywania przez organ uprawniony do dostępu do KSI EES oraz przetwarzania danych poprzez KSI EES szkoleń wszystkich osób, które mają realizować to uprawnienie, w zakresie użytkowania KSI EES;</w:t>
      </w:r>
    </w:p>
    <w:p w:rsidR="00A94BA9" w:rsidRPr="001B0139" w:rsidRDefault="00A94BA9" w:rsidP="00431047">
      <w:pPr>
        <w:pStyle w:val="Akapitzlist"/>
        <w:numPr>
          <w:ilvl w:val="0"/>
          <w:numId w:val="14"/>
        </w:numPr>
        <w:spacing w:line="360" w:lineRule="auto"/>
        <w:jc w:val="both"/>
        <w:rPr>
          <w:rFonts w:ascii="Times New Roman" w:hAnsi="Times New Roman" w:cs="Times New Roman"/>
          <w:sz w:val="24"/>
          <w:szCs w:val="24"/>
        </w:rPr>
      </w:pPr>
      <w:r w:rsidRPr="001B0139">
        <w:rPr>
          <w:rFonts w:ascii="Times New Roman" w:eastAsia="Times New Roman" w:hAnsi="Times New Roman" w:cs="Times New Roman"/>
          <w:sz w:val="24"/>
          <w:szCs w:val="24"/>
          <w:lang w:val="pl" w:eastAsia="pl-PL"/>
        </w:rPr>
        <w:t>wskazano, że zadania administratora będzie wykonywała powołana w Komendzie Głównej Straży Granicznej komórka organizacyjna;</w:t>
      </w:r>
    </w:p>
    <w:p w:rsidR="002812ED" w:rsidRPr="001B0139" w:rsidRDefault="002812ED" w:rsidP="002812ED">
      <w:pPr>
        <w:pStyle w:val="Akapitzlist"/>
        <w:numPr>
          <w:ilvl w:val="0"/>
          <w:numId w:val="14"/>
        </w:numPr>
        <w:spacing w:line="360" w:lineRule="auto"/>
        <w:jc w:val="both"/>
        <w:rPr>
          <w:rFonts w:ascii="Times New Roman" w:eastAsia="Times New Roman" w:hAnsi="Times New Roman" w:cs="Times New Roman"/>
          <w:sz w:val="24"/>
          <w:szCs w:val="24"/>
          <w:lang w:val="pl" w:eastAsia="pl-PL"/>
        </w:rPr>
      </w:pPr>
      <w:r w:rsidRPr="001B0139">
        <w:rPr>
          <w:rFonts w:ascii="Times New Roman" w:eastAsia="Times New Roman" w:hAnsi="Times New Roman" w:cs="Times New Roman"/>
          <w:sz w:val="24"/>
          <w:szCs w:val="24"/>
          <w:lang w:val="pl" w:eastAsia="pl-PL"/>
        </w:rPr>
        <w:t>wprowadzono pojęcia</w:t>
      </w:r>
      <w:r w:rsidR="00896FEB" w:rsidRPr="001B0139">
        <w:rPr>
          <w:rFonts w:ascii="Times New Roman" w:eastAsia="Times New Roman" w:hAnsi="Times New Roman" w:cs="Times New Roman"/>
          <w:sz w:val="24"/>
          <w:szCs w:val="24"/>
          <w:lang w:val="pl" w:eastAsia="pl-PL"/>
        </w:rPr>
        <w:t xml:space="preserve"> użytkownika indywidualnego i </w:t>
      </w:r>
      <w:r w:rsidRPr="001B0139">
        <w:rPr>
          <w:rFonts w:ascii="Times New Roman" w:eastAsia="Times New Roman" w:hAnsi="Times New Roman" w:cs="Times New Roman"/>
          <w:sz w:val="24"/>
          <w:szCs w:val="24"/>
          <w:lang w:val="pl" w:eastAsia="pl-PL"/>
        </w:rPr>
        <w:t xml:space="preserve">końcowego, </w:t>
      </w:r>
      <w:r w:rsidRPr="001B0139">
        <w:rPr>
          <w:rFonts w:ascii="Times New Roman" w:hAnsi="Times New Roman" w:cs="Times New Roman"/>
          <w:sz w:val="24"/>
          <w:szCs w:val="24"/>
          <w:lang w:val="pl"/>
        </w:rPr>
        <w:t>z uwagi na</w:t>
      </w:r>
      <w:r w:rsidR="00896FEB" w:rsidRPr="001B0139">
        <w:rPr>
          <w:rFonts w:ascii="Times New Roman" w:hAnsi="Times New Roman" w:cs="Times New Roman"/>
          <w:sz w:val="24"/>
          <w:szCs w:val="24"/>
          <w:lang w:val="pl"/>
        </w:rPr>
        <w:t> </w:t>
      </w:r>
      <w:r w:rsidRPr="001B0139">
        <w:rPr>
          <w:rFonts w:ascii="Times New Roman" w:hAnsi="Times New Roman" w:cs="Times New Roman"/>
          <w:sz w:val="24"/>
          <w:szCs w:val="24"/>
          <w:lang w:val="pl"/>
        </w:rPr>
        <w:t>wykorzystywany przez użytkownika system umożliwiający dostęp do danych EES i </w:t>
      </w:r>
      <w:r w:rsidR="00646BA5">
        <w:rPr>
          <w:rFonts w:ascii="Times New Roman" w:hAnsi="Times New Roman" w:cs="Times New Roman"/>
          <w:sz w:val="24"/>
          <w:szCs w:val="24"/>
          <w:lang w:val="pl"/>
        </w:rPr>
        <w:t>związane z tym</w:t>
      </w:r>
      <w:r w:rsidRPr="001B0139">
        <w:rPr>
          <w:rFonts w:ascii="Times New Roman" w:hAnsi="Times New Roman" w:cs="Times New Roman"/>
          <w:sz w:val="24"/>
          <w:szCs w:val="24"/>
          <w:lang w:val="pl"/>
        </w:rPr>
        <w:t xml:space="preserve"> różne podmioty odpowiedzialne za zapewnienie rozliczalności działań użytkownika;</w:t>
      </w:r>
    </w:p>
    <w:p w:rsidR="00A94BA9" w:rsidRPr="001B0139" w:rsidRDefault="00A94BA9" w:rsidP="00431047">
      <w:pPr>
        <w:pStyle w:val="Akapitzlist"/>
        <w:numPr>
          <w:ilvl w:val="0"/>
          <w:numId w:val="14"/>
        </w:numPr>
        <w:spacing w:line="360" w:lineRule="auto"/>
        <w:jc w:val="both"/>
        <w:rPr>
          <w:rFonts w:ascii="Times New Roman" w:hAnsi="Times New Roman" w:cs="Times New Roman"/>
          <w:sz w:val="24"/>
          <w:szCs w:val="24"/>
        </w:rPr>
      </w:pPr>
      <w:r w:rsidRPr="001B0139">
        <w:rPr>
          <w:rFonts w:ascii="Times New Roman" w:eastAsia="Times New Roman" w:hAnsi="Times New Roman" w:cs="Times New Roman"/>
          <w:sz w:val="24"/>
          <w:szCs w:val="24"/>
          <w:lang w:val="pl" w:eastAsia="pl-PL"/>
        </w:rPr>
        <w:t>wskazano jakie elementy powinny zawierać upoważnienia oraz doprecyzowano tryb nadawania upoważnień;</w:t>
      </w:r>
    </w:p>
    <w:p w:rsidR="00896FEB" w:rsidRPr="001B0139" w:rsidRDefault="00A94BA9" w:rsidP="002362FC">
      <w:pPr>
        <w:pStyle w:val="Akapitzlist"/>
        <w:numPr>
          <w:ilvl w:val="0"/>
          <w:numId w:val="14"/>
        </w:numPr>
        <w:spacing w:line="360" w:lineRule="auto"/>
        <w:jc w:val="both"/>
        <w:rPr>
          <w:rFonts w:ascii="Times New Roman" w:hAnsi="Times New Roman" w:cs="Times New Roman"/>
          <w:sz w:val="24"/>
          <w:szCs w:val="24"/>
        </w:rPr>
      </w:pPr>
      <w:r w:rsidRPr="001B0139">
        <w:rPr>
          <w:rFonts w:ascii="Times New Roman" w:eastAsia="Times New Roman" w:hAnsi="Times New Roman" w:cs="Times New Roman"/>
          <w:sz w:val="24"/>
          <w:szCs w:val="24"/>
          <w:lang w:val="pl" w:eastAsia="pl-PL"/>
        </w:rPr>
        <w:t>wskazano organ nadzorczy w zakresie ochrony danych osobowych na poziomie krajowym</w:t>
      </w:r>
      <w:r w:rsidR="00896FEB" w:rsidRPr="001B0139">
        <w:rPr>
          <w:rFonts w:ascii="Times New Roman" w:eastAsia="Times New Roman" w:hAnsi="Times New Roman" w:cs="Times New Roman"/>
          <w:sz w:val="24"/>
          <w:szCs w:val="24"/>
          <w:lang w:val="pl" w:eastAsia="pl-PL"/>
        </w:rPr>
        <w:t>;</w:t>
      </w:r>
    </w:p>
    <w:p w:rsidR="00A94BA9" w:rsidRPr="001B0139" w:rsidRDefault="00896FEB" w:rsidP="002362FC">
      <w:pPr>
        <w:pStyle w:val="Akapitzlist"/>
        <w:numPr>
          <w:ilvl w:val="0"/>
          <w:numId w:val="14"/>
        </w:numPr>
        <w:spacing w:line="360" w:lineRule="auto"/>
        <w:jc w:val="both"/>
        <w:rPr>
          <w:rFonts w:ascii="Times New Roman" w:hAnsi="Times New Roman" w:cs="Times New Roman"/>
          <w:sz w:val="24"/>
          <w:szCs w:val="24"/>
        </w:rPr>
      </w:pPr>
      <w:r w:rsidRPr="001B0139">
        <w:rPr>
          <w:rFonts w:ascii="Times New Roman" w:eastAsia="Times New Roman" w:hAnsi="Times New Roman" w:cs="Times New Roman"/>
          <w:sz w:val="24"/>
          <w:szCs w:val="24"/>
          <w:lang w:val="pl" w:eastAsia="pl-PL"/>
        </w:rPr>
        <w:t xml:space="preserve">sprawy szkoleń pozostawiono do wewnętrznych ustaleń w każdym organie, który będzie miał prawo dostępu do EES, co pozwoli na lepsze zarządzanie czasem personelu w każdej </w:t>
      </w:r>
      <w:r w:rsidRPr="001B0139">
        <w:rPr>
          <w:rFonts w:ascii="Times New Roman" w:eastAsia="Times New Roman" w:hAnsi="Times New Roman" w:cs="Times New Roman"/>
          <w:sz w:val="24"/>
          <w:szCs w:val="24"/>
          <w:lang w:val="pl" w:eastAsia="pl-PL"/>
        </w:rPr>
        <w:lastRenderedPageBreak/>
        <w:t>organizacji. Dopuszczalne będzie wówczas np. połączenie kilku szkoleń z zakres</w:t>
      </w:r>
      <w:r w:rsidR="00F82111">
        <w:rPr>
          <w:rFonts w:ascii="Times New Roman" w:eastAsia="Times New Roman" w:hAnsi="Times New Roman" w:cs="Times New Roman"/>
          <w:sz w:val="24"/>
          <w:szCs w:val="24"/>
          <w:lang w:val="pl" w:eastAsia="pl-PL"/>
        </w:rPr>
        <w:t>u ochrony danych osobowych</w:t>
      </w:r>
      <w:r w:rsidRPr="001B0139">
        <w:rPr>
          <w:rFonts w:ascii="Times New Roman" w:eastAsia="Times New Roman" w:hAnsi="Times New Roman" w:cs="Times New Roman"/>
          <w:sz w:val="24"/>
          <w:szCs w:val="24"/>
          <w:lang w:val="pl" w:eastAsia="pl-PL"/>
        </w:rPr>
        <w:t xml:space="preserve"> w jedno szkolenie, które będzie przeznaczone dla użytkowników różnych systemów wielkoskalowych. Powyższe pozwoli też na wprowadzanie dowolności w kontekście formy prowadzonych szkoleń, która może być różna w zależności od organu, np. szkolenia mogą odbywać się w formie stacjonarnej, zdalnej czy też hybrydowej. Warto także wskazać, że w </w:t>
      </w:r>
      <w:r w:rsidRPr="001B0139">
        <w:rPr>
          <w:rFonts w:ascii="Times New Roman" w:hAnsi="Times New Roman" w:cs="Times New Roman"/>
          <w:color w:val="000000" w:themeColor="text1"/>
          <w:sz w:val="24"/>
          <w:szCs w:val="24"/>
        </w:rPr>
        <w:t xml:space="preserve">rozporządzeniu 2017/2226 brak jest przepisów, które nakładałyby na państwa członkowskie obowiązek uregulowania, w tym przypadku w ustawie, kwestii szkoleń. W związku z powyższym zaproponowano wprowadzenie przepisów (ust. 1–3), które zdaniem projektodawcy w stopniu odpowiednim regulują  ten obszar.  </w:t>
      </w:r>
    </w:p>
    <w:p w:rsidR="00896FEB" w:rsidRPr="001B0139" w:rsidRDefault="00896FEB" w:rsidP="00A94BA9">
      <w:pPr>
        <w:spacing w:line="360" w:lineRule="auto"/>
        <w:ind w:firstLine="709"/>
        <w:jc w:val="both"/>
        <w:rPr>
          <w:rFonts w:ascii="Times New Roman" w:hAnsi="Times New Roman" w:cs="Times New Roman"/>
          <w:sz w:val="24"/>
          <w:szCs w:val="24"/>
        </w:rPr>
      </w:pPr>
      <w:r w:rsidRPr="001B0139">
        <w:rPr>
          <w:rFonts w:ascii="Times New Roman" w:hAnsi="Times New Roman" w:cs="Times New Roman"/>
          <w:sz w:val="24"/>
          <w:szCs w:val="24"/>
        </w:rPr>
        <w:t>W ust. 10 określono kwestię nadawania i odbierania upoważnień, które pozostają w kompetencji właściwego organu, te zaś są uregulowane odrębnymi przepisami oraz zgodne z polityką bezpieczeństwa każdego z nich.</w:t>
      </w:r>
    </w:p>
    <w:p w:rsidR="00A94BA9" w:rsidRPr="001B0139" w:rsidRDefault="00A94BA9" w:rsidP="00A94BA9">
      <w:pPr>
        <w:spacing w:line="360" w:lineRule="auto"/>
        <w:ind w:firstLine="709"/>
        <w:jc w:val="both"/>
        <w:rPr>
          <w:rFonts w:ascii="Times New Roman" w:hAnsi="Times New Roman" w:cs="Times New Roman"/>
          <w:sz w:val="24"/>
          <w:szCs w:val="24"/>
        </w:rPr>
      </w:pPr>
      <w:r w:rsidRPr="001B0139">
        <w:rPr>
          <w:rFonts w:ascii="Times New Roman" w:hAnsi="Times New Roman" w:cs="Times New Roman"/>
          <w:sz w:val="24"/>
          <w:szCs w:val="24"/>
        </w:rPr>
        <w:t xml:space="preserve">W odniesieniu do danych osobowych przetwarzanych poprzez KSI EES projekt przewiduje, że zastosowanie będą miały ogólne przepisy obowiązujące w tym zakresie </w:t>
      </w:r>
      <w:r w:rsidR="00896FEB" w:rsidRPr="001B0139">
        <w:rPr>
          <w:rFonts w:ascii="Times New Roman" w:hAnsi="Times New Roman" w:cs="Times New Roman"/>
          <w:sz w:val="24"/>
          <w:szCs w:val="24"/>
        </w:rPr>
        <w:t>z </w:t>
      </w:r>
      <w:r w:rsidRPr="001B0139">
        <w:rPr>
          <w:rFonts w:ascii="Times New Roman" w:hAnsi="Times New Roman" w:cs="Times New Roman"/>
          <w:sz w:val="24"/>
          <w:szCs w:val="24"/>
        </w:rPr>
        <w:t xml:space="preserve">odrębnościami wynikającymi z rozporządzenia 2017/2226. Co do zasady zastosowanie będzie mieć rozporządzenie Parlamentu Europejskiego i Rady (UE) 2016/679 z dnia 27 kwietnia 2016 r. w sprawie ochrony osób fizycznych w związku z przetwarzaniem danych osobowych i w sprawie swobodnego przepływu takich danych oraz uchylenia dyrektywy 95/46/WE (zwane dalej ,,RODO”) oraz ustawa z dnia 10 maja 2018 r. o ochronie danych osobowych (Dz. U. </w:t>
      </w:r>
      <w:r w:rsidR="00431047" w:rsidRPr="001B0139">
        <w:rPr>
          <w:rFonts w:ascii="Times New Roman" w:hAnsi="Times New Roman" w:cs="Times New Roman"/>
          <w:sz w:val="24"/>
          <w:szCs w:val="24"/>
        </w:rPr>
        <w:t xml:space="preserve">z 2019 r. poz. 1781). </w:t>
      </w:r>
      <w:r w:rsidRPr="001B0139">
        <w:rPr>
          <w:rFonts w:ascii="Times New Roman" w:hAnsi="Times New Roman" w:cs="Times New Roman"/>
          <w:sz w:val="24"/>
          <w:szCs w:val="24"/>
        </w:rPr>
        <w:t>Natomiast w przypadku przetwarzania danych osobowych w celu zwalczania przestępczości co do zasady za</w:t>
      </w:r>
      <w:r w:rsidR="00896FEB" w:rsidRPr="001B0139">
        <w:rPr>
          <w:rFonts w:ascii="Times New Roman" w:hAnsi="Times New Roman" w:cs="Times New Roman"/>
          <w:sz w:val="24"/>
          <w:szCs w:val="24"/>
        </w:rPr>
        <w:t>stosowanie będzie mieć ustawa z </w:t>
      </w:r>
      <w:r w:rsidRPr="001B0139">
        <w:rPr>
          <w:rFonts w:ascii="Times New Roman" w:hAnsi="Times New Roman" w:cs="Times New Roman"/>
          <w:sz w:val="24"/>
          <w:szCs w:val="24"/>
        </w:rPr>
        <w:t>dnia 14 grudnia 2018 r. o ochronie danych osobo</w:t>
      </w:r>
      <w:r w:rsidR="00896FEB" w:rsidRPr="001B0139">
        <w:rPr>
          <w:rFonts w:ascii="Times New Roman" w:hAnsi="Times New Roman" w:cs="Times New Roman"/>
          <w:sz w:val="24"/>
          <w:szCs w:val="24"/>
        </w:rPr>
        <w:t>wych przetwarzanych w związku z </w:t>
      </w:r>
      <w:r w:rsidRPr="001B0139">
        <w:rPr>
          <w:rFonts w:ascii="Times New Roman" w:hAnsi="Times New Roman" w:cs="Times New Roman"/>
          <w:sz w:val="24"/>
          <w:szCs w:val="24"/>
        </w:rPr>
        <w:t>zapobieganiem i zwalczaniem przestępczości (Dz. U. z 2023 r. poz. 1206).</w:t>
      </w:r>
    </w:p>
    <w:p w:rsidR="00A94BA9" w:rsidRPr="001B0139" w:rsidRDefault="00A94BA9" w:rsidP="00A94BA9">
      <w:pPr>
        <w:spacing w:line="360" w:lineRule="auto"/>
        <w:ind w:firstLine="851"/>
        <w:jc w:val="both"/>
        <w:rPr>
          <w:rFonts w:ascii="Times New Roman" w:hAnsi="Times New Roman" w:cs="Times New Roman"/>
          <w:color w:val="000000" w:themeColor="text1"/>
          <w:sz w:val="24"/>
          <w:szCs w:val="24"/>
        </w:rPr>
      </w:pPr>
      <w:r w:rsidRPr="001B0139">
        <w:rPr>
          <w:rFonts w:ascii="Times New Roman" w:hAnsi="Times New Roman" w:cs="Times New Roman"/>
          <w:sz w:val="24"/>
          <w:szCs w:val="24"/>
        </w:rPr>
        <w:lastRenderedPageBreak/>
        <w:t xml:space="preserve">W zakresie uprawnień obywateli państw trzecich, określonych w art. 15–18 </w:t>
      </w:r>
      <w:r w:rsidRPr="001B0139">
        <w:rPr>
          <w:rFonts w:ascii="Times New Roman" w:hAnsi="Times New Roman" w:cs="Times New Roman"/>
          <w:color w:val="000000" w:themeColor="text1"/>
          <w:sz w:val="24"/>
          <w:szCs w:val="24"/>
        </w:rPr>
        <w:t>RODO, tj. prawa dostępu do danych osobowych, ich sprostowania, uzupełnienia i usunięcia oraz do</w:t>
      </w:r>
      <w:r w:rsidR="00896FEB"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ograniczenia ich przetwarzania</w:t>
      </w:r>
      <w:r w:rsidR="007E29F7" w:rsidRPr="001B0139">
        <w:rPr>
          <w:rFonts w:ascii="Times New Roman" w:hAnsi="Times New Roman" w:cs="Times New Roman"/>
          <w:color w:val="000000" w:themeColor="text1"/>
          <w:sz w:val="24"/>
          <w:szCs w:val="24"/>
        </w:rPr>
        <w:t>,</w:t>
      </w:r>
      <w:r w:rsidRPr="001B0139">
        <w:rPr>
          <w:rFonts w:ascii="Times New Roman" w:hAnsi="Times New Roman" w:cs="Times New Roman"/>
          <w:color w:val="000000" w:themeColor="text1"/>
          <w:sz w:val="24"/>
          <w:szCs w:val="24"/>
        </w:rPr>
        <w:t xml:space="preserve"> projekt przewiduje, że wnioski o skorzystanie z tych uprawnień </w:t>
      </w:r>
      <w:r w:rsidR="007E29F7" w:rsidRPr="001B0139">
        <w:rPr>
          <w:rFonts w:ascii="Times New Roman" w:hAnsi="Times New Roman" w:cs="Times New Roman"/>
          <w:color w:val="000000" w:themeColor="text1"/>
          <w:sz w:val="24"/>
          <w:szCs w:val="24"/>
        </w:rPr>
        <w:t xml:space="preserve">będą </w:t>
      </w:r>
      <w:r w:rsidRPr="001B0139">
        <w:rPr>
          <w:rFonts w:ascii="Times New Roman" w:hAnsi="Times New Roman" w:cs="Times New Roman"/>
          <w:color w:val="000000" w:themeColor="text1"/>
          <w:sz w:val="24"/>
          <w:szCs w:val="24"/>
        </w:rPr>
        <w:t>składane do administratora danych osobowych p</w:t>
      </w:r>
      <w:r w:rsidR="001B0139" w:rsidRPr="001B0139">
        <w:rPr>
          <w:rFonts w:ascii="Times New Roman" w:hAnsi="Times New Roman" w:cs="Times New Roman"/>
          <w:color w:val="000000" w:themeColor="text1"/>
          <w:sz w:val="24"/>
          <w:szCs w:val="24"/>
        </w:rPr>
        <w:t>rzetwarzanych przez KSI EES. Do </w:t>
      </w:r>
      <w:r w:rsidRPr="001B0139">
        <w:rPr>
          <w:rFonts w:ascii="Times New Roman" w:hAnsi="Times New Roman" w:cs="Times New Roman"/>
          <w:color w:val="000000" w:themeColor="text1"/>
          <w:sz w:val="24"/>
          <w:szCs w:val="24"/>
        </w:rPr>
        <w:t>rozpatrywania tych wniosków nie będzie mieć zastosowania ustawa z dnia 14 czerwca 1960 r. – Kodeks postępowania administracyjnego (Dz. U. z 202</w:t>
      </w:r>
      <w:r w:rsidR="007E29F7" w:rsidRPr="001B0139">
        <w:rPr>
          <w:rFonts w:ascii="Times New Roman" w:hAnsi="Times New Roman" w:cs="Times New Roman"/>
          <w:color w:val="000000" w:themeColor="text1"/>
          <w:sz w:val="24"/>
          <w:szCs w:val="24"/>
        </w:rPr>
        <w:t>4</w:t>
      </w:r>
      <w:r w:rsidRPr="001B0139">
        <w:rPr>
          <w:rFonts w:ascii="Times New Roman" w:hAnsi="Times New Roman" w:cs="Times New Roman"/>
          <w:color w:val="000000" w:themeColor="text1"/>
          <w:sz w:val="24"/>
          <w:szCs w:val="24"/>
        </w:rPr>
        <w:t xml:space="preserve"> r. poz. </w:t>
      </w:r>
      <w:r w:rsidR="007E29F7" w:rsidRPr="001B0139">
        <w:rPr>
          <w:rFonts w:ascii="Times New Roman" w:hAnsi="Times New Roman" w:cs="Times New Roman"/>
          <w:color w:val="000000" w:themeColor="text1"/>
          <w:sz w:val="24"/>
          <w:szCs w:val="24"/>
        </w:rPr>
        <w:t>572</w:t>
      </w:r>
      <w:r w:rsidRPr="001B0139">
        <w:rPr>
          <w:rFonts w:ascii="Times New Roman" w:hAnsi="Times New Roman" w:cs="Times New Roman"/>
          <w:color w:val="000000" w:themeColor="text1"/>
          <w:sz w:val="24"/>
          <w:szCs w:val="24"/>
        </w:rPr>
        <w:t xml:space="preserve">). </w:t>
      </w:r>
      <w:r w:rsidR="007E29F7" w:rsidRPr="001B0139">
        <w:rPr>
          <w:rFonts w:ascii="Times New Roman" w:hAnsi="Times New Roman" w:cs="Times New Roman"/>
          <w:color w:val="000000" w:themeColor="text1"/>
          <w:sz w:val="24"/>
          <w:szCs w:val="24"/>
        </w:rPr>
        <w:t>W</w:t>
      </w:r>
      <w:r w:rsidRPr="001B0139">
        <w:rPr>
          <w:rFonts w:ascii="Times New Roman" w:hAnsi="Times New Roman" w:cs="Times New Roman"/>
          <w:color w:val="000000" w:themeColor="text1"/>
          <w:sz w:val="24"/>
          <w:szCs w:val="24"/>
        </w:rPr>
        <w:t xml:space="preserve">nioski </w:t>
      </w:r>
      <w:r w:rsidR="007E29F7" w:rsidRPr="001B0139">
        <w:rPr>
          <w:rFonts w:ascii="Times New Roman" w:hAnsi="Times New Roman" w:cs="Times New Roman"/>
          <w:color w:val="000000" w:themeColor="text1"/>
          <w:sz w:val="24"/>
          <w:szCs w:val="24"/>
        </w:rPr>
        <w:t>będą</w:t>
      </w:r>
      <w:r w:rsidRPr="001B0139">
        <w:rPr>
          <w:rFonts w:ascii="Times New Roman" w:hAnsi="Times New Roman" w:cs="Times New Roman"/>
          <w:color w:val="000000" w:themeColor="text1"/>
          <w:sz w:val="24"/>
          <w:szCs w:val="24"/>
        </w:rPr>
        <w:t xml:space="preserve"> rozpatrywane na podstawie ogólnych przepisów regulujących kwestie przetwarzania danych osobowych, tj. RODO oraz ustawy z dnia 10 maja 2018 r. o ochronie danych osobowych, </w:t>
      </w:r>
      <w:r w:rsidR="00896FEB" w:rsidRPr="001B0139">
        <w:rPr>
          <w:rFonts w:ascii="Times New Roman" w:hAnsi="Times New Roman" w:cs="Times New Roman"/>
          <w:color w:val="000000" w:themeColor="text1"/>
          <w:sz w:val="24"/>
          <w:szCs w:val="24"/>
        </w:rPr>
        <w:t>z </w:t>
      </w:r>
      <w:r w:rsidRPr="001B0139">
        <w:rPr>
          <w:rFonts w:ascii="Times New Roman" w:hAnsi="Times New Roman" w:cs="Times New Roman"/>
          <w:color w:val="000000" w:themeColor="text1"/>
          <w:sz w:val="24"/>
          <w:szCs w:val="24"/>
        </w:rPr>
        <w:t xml:space="preserve">wyjątkami wynikającymi z rozporządzenia 2017/2226. </w:t>
      </w:r>
    </w:p>
    <w:p w:rsidR="00A94BA9" w:rsidRPr="001B0139" w:rsidRDefault="00A94BA9" w:rsidP="00896FEB">
      <w:pPr>
        <w:spacing w:line="360" w:lineRule="auto"/>
        <w:ind w:firstLine="708"/>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Szczególne wymogi wynikające z art. 52 rozporządzenia 2017/2226 to 45-dniowy termin </w:t>
      </w:r>
      <w:r w:rsidR="00896FEB" w:rsidRPr="001B0139">
        <w:rPr>
          <w:rFonts w:ascii="Times New Roman" w:hAnsi="Times New Roman" w:cs="Times New Roman"/>
          <w:color w:val="000000" w:themeColor="text1"/>
          <w:sz w:val="24"/>
          <w:szCs w:val="24"/>
        </w:rPr>
        <w:t>na </w:t>
      </w:r>
      <w:r w:rsidRPr="001B0139">
        <w:rPr>
          <w:rFonts w:ascii="Times New Roman" w:hAnsi="Times New Roman" w:cs="Times New Roman"/>
          <w:color w:val="000000" w:themeColor="text1"/>
          <w:sz w:val="24"/>
          <w:szCs w:val="24"/>
        </w:rPr>
        <w:t>rozpatrzenie wniosku, wymóg  informowania wnioskodawców na piśmie o podjęciu czynności mających na celu rozpatrzenie złożonego wniosku, a w przypadku odmowy uwzględniania wniosku wymogi w zakresie uzasadnienia rozstrzygnięcia organu oraz pouczenia o przysługujących środkach zaskarżenia. Rozporządzenie 2017/22</w:t>
      </w:r>
      <w:r w:rsidR="007E29F7" w:rsidRPr="001B0139">
        <w:rPr>
          <w:rFonts w:ascii="Times New Roman" w:hAnsi="Times New Roman" w:cs="Times New Roman"/>
          <w:color w:val="000000" w:themeColor="text1"/>
          <w:sz w:val="24"/>
          <w:szCs w:val="24"/>
        </w:rPr>
        <w:t>2</w:t>
      </w:r>
      <w:r w:rsidRPr="001B0139">
        <w:rPr>
          <w:rFonts w:ascii="Times New Roman" w:hAnsi="Times New Roman" w:cs="Times New Roman"/>
          <w:color w:val="000000" w:themeColor="text1"/>
          <w:sz w:val="24"/>
          <w:szCs w:val="24"/>
        </w:rPr>
        <w:t xml:space="preserve">6 przewiduje również obowiązek prowadzenia określonego rejestru, który ma być </w:t>
      </w:r>
      <w:r w:rsidR="007E29F7" w:rsidRPr="001B0139">
        <w:rPr>
          <w:rFonts w:ascii="Times New Roman" w:hAnsi="Times New Roman" w:cs="Times New Roman"/>
          <w:color w:val="000000" w:themeColor="text1"/>
          <w:sz w:val="24"/>
          <w:szCs w:val="24"/>
        </w:rPr>
        <w:t xml:space="preserve">udostępniany </w:t>
      </w:r>
      <w:r w:rsidRPr="001B0139">
        <w:rPr>
          <w:rFonts w:ascii="Times New Roman" w:hAnsi="Times New Roman" w:cs="Times New Roman"/>
          <w:color w:val="000000" w:themeColor="text1"/>
          <w:sz w:val="24"/>
          <w:szCs w:val="24"/>
        </w:rPr>
        <w:t>Prezesowi UODO.</w:t>
      </w:r>
    </w:p>
    <w:p w:rsidR="00A94BA9" w:rsidRPr="001B0139" w:rsidRDefault="00A94BA9" w:rsidP="00896FEB">
      <w:pPr>
        <w:spacing w:line="360" w:lineRule="auto"/>
        <w:ind w:firstLine="708"/>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Przepis</w:t>
      </w:r>
      <w:r w:rsidR="007E29F7" w:rsidRPr="001B0139">
        <w:rPr>
          <w:rFonts w:ascii="Times New Roman" w:hAnsi="Times New Roman" w:cs="Times New Roman"/>
          <w:color w:val="000000" w:themeColor="text1"/>
          <w:sz w:val="24"/>
          <w:szCs w:val="24"/>
        </w:rPr>
        <w:t>y</w:t>
      </w:r>
      <w:r w:rsidRPr="001B0139">
        <w:rPr>
          <w:rFonts w:ascii="Times New Roman" w:hAnsi="Times New Roman" w:cs="Times New Roman"/>
          <w:color w:val="000000" w:themeColor="text1"/>
          <w:sz w:val="24"/>
          <w:szCs w:val="24"/>
        </w:rPr>
        <w:t xml:space="preserve"> art. 52 ust. </w:t>
      </w:r>
      <w:r w:rsidR="00896FEB" w:rsidRPr="001B0139">
        <w:rPr>
          <w:rFonts w:ascii="Times New Roman" w:hAnsi="Times New Roman" w:cs="Times New Roman"/>
          <w:color w:val="000000" w:themeColor="text1"/>
          <w:sz w:val="24"/>
          <w:szCs w:val="24"/>
        </w:rPr>
        <w:t xml:space="preserve">4 i 5 rozporządzenia 2017/2226 </w:t>
      </w:r>
      <w:r w:rsidR="007E29F7" w:rsidRPr="001B0139">
        <w:rPr>
          <w:rFonts w:ascii="Times New Roman" w:hAnsi="Times New Roman" w:cs="Times New Roman"/>
          <w:color w:val="000000" w:themeColor="text1"/>
          <w:sz w:val="24"/>
          <w:szCs w:val="24"/>
        </w:rPr>
        <w:t xml:space="preserve">posługują </w:t>
      </w:r>
      <w:r w:rsidRPr="001B0139">
        <w:rPr>
          <w:rFonts w:ascii="Times New Roman" w:hAnsi="Times New Roman" w:cs="Times New Roman"/>
          <w:color w:val="000000" w:themeColor="text1"/>
          <w:sz w:val="24"/>
          <w:szCs w:val="24"/>
        </w:rPr>
        <w:t>się wprawdzie pojęciem decyzji administracyjnej na określenie rozstrzygnięcia organu rozpatrującego wniosek obywatela państwa trzeciego, jednak w ocenie projektodawcy nie można uznać, że prawodawca unijny przyj</w:t>
      </w:r>
      <w:r w:rsidR="00896FEB" w:rsidRPr="001B0139">
        <w:rPr>
          <w:rFonts w:ascii="Times New Roman" w:hAnsi="Times New Roman" w:cs="Times New Roman"/>
          <w:color w:val="000000" w:themeColor="text1"/>
          <w:sz w:val="24"/>
          <w:szCs w:val="24"/>
        </w:rPr>
        <w:t xml:space="preserve">mując rozporządzenie 2017/2226 </w:t>
      </w:r>
      <w:r w:rsidRPr="001B0139">
        <w:rPr>
          <w:rFonts w:ascii="Times New Roman" w:hAnsi="Times New Roman" w:cs="Times New Roman"/>
          <w:color w:val="000000" w:themeColor="text1"/>
          <w:sz w:val="24"/>
          <w:szCs w:val="24"/>
        </w:rPr>
        <w:t>miał na myśli odwołania do konkretnych przepisów proceduralnych poszczególny</w:t>
      </w:r>
      <w:r w:rsidR="00896FEB" w:rsidRPr="001B0139">
        <w:rPr>
          <w:rFonts w:ascii="Times New Roman" w:hAnsi="Times New Roman" w:cs="Times New Roman"/>
          <w:color w:val="000000" w:themeColor="text1"/>
          <w:sz w:val="24"/>
          <w:szCs w:val="24"/>
        </w:rPr>
        <w:t xml:space="preserve">ch państw członkowskich, tj. w </w:t>
      </w:r>
      <w:r w:rsidRPr="001B0139">
        <w:rPr>
          <w:rFonts w:ascii="Times New Roman" w:hAnsi="Times New Roman" w:cs="Times New Roman"/>
          <w:color w:val="000000" w:themeColor="text1"/>
          <w:sz w:val="24"/>
          <w:szCs w:val="24"/>
        </w:rPr>
        <w:t xml:space="preserve">przypadku Polski do przepisów Kodeksu postępowania administracyjnego. W ocenie projektodawcy prawodawca unijny poprzez posłużenie się sformułowaniem decyzji administracyjnej miał na celu zapewnienie odpowiednich gwarancji podczas rozpatrywania wniosków obywateli państw trzecich dotyczących ich </w:t>
      </w:r>
      <w:r w:rsidRPr="001B0139">
        <w:rPr>
          <w:rFonts w:ascii="Times New Roman" w:hAnsi="Times New Roman" w:cs="Times New Roman"/>
          <w:color w:val="000000" w:themeColor="text1"/>
          <w:sz w:val="24"/>
          <w:szCs w:val="24"/>
        </w:rPr>
        <w:lastRenderedPageBreak/>
        <w:t>uprawnień w zakresie ich danych osobowych przetwarzanych przez</w:t>
      </w:r>
      <w:r w:rsidR="00896FEB" w:rsidRPr="001B0139">
        <w:rPr>
          <w:rFonts w:ascii="Times New Roman" w:hAnsi="Times New Roman" w:cs="Times New Roman"/>
          <w:color w:val="000000" w:themeColor="text1"/>
          <w:sz w:val="24"/>
          <w:szCs w:val="24"/>
        </w:rPr>
        <w:t xml:space="preserve"> EES, tj. rozpatrzenie wniosku </w:t>
      </w:r>
      <w:r w:rsidRPr="001B0139">
        <w:rPr>
          <w:rFonts w:ascii="Times New Roman" w:hAnsi="Times New Roman" w:cs="Times New Roman"/>
          <w:color w:val="000000" w:themeColor="text1"/>
          <w:sz w:val="24"/>
          <w:szCs w:val="24"/>
        </w:rPr>
        <w:t xml:space="preserve">w określonym terminie przez właściwy organ oraz zawarcie określonych informacji, które otrzymywać mają wnioskodawcy. W ocenie projektodawcy projektowana ustawa gwarantuje uwzględnienie wszystkich tych wymogów. Przysługujące obywatelom państw trzecich  środki zaskarżenia określone są w RODO oraz ustawie o ochronie danych osobowych (skarga do Prezesa Urzędu do Spraw Ochrony Danych Osobowych lub sądu powszechnego). </w:t>
      </w:r>
    </w:p>
    <w:p w:rsidR="00A94BA9" w:rsidRPr="001B0139" w:rsidRDefault="001C4A12" w:rsidP="00896FEB">
      <w:pPr>
        <w:spacing w:line="360" w:lineRule="auto"/>
        <w:jc w:val="both"/>
        <w:rPr>
          <w:rFonts w:ascii="Times New Roman" w:eastAsiaTheme="minorHAnsi" w:hAnsi="Times New Roman" w:cs="Times New Roman"/>
          <w:color w:val="000000" w:themeColor="text1"/>
          <w:sz w:val="24"/>
          <w:szCs w:val="24"/>
          <w:lang w:eastAsia="en-US"/>
        </w:rPr>
      </w:pPr>
      <w:r w:rsidRPr="001B0139">
        <w:rPr>
          <w:rFonts w:ascii="Times New Roman" w:hAnsi="Times New Roman" w:cs="Times New Roman"/>
          <w:color w:val="000000" w:themeColor="text1"/>
          <w:sz w:val="24"/>
          <w:szCs w:val="24"/>
        </w:rPr>
        <w:tab/>
      </w:r>
      <w:r w:rsidR="00A94BA9" w:rsidRPr="001B0139">
        <w:rPr>
          <w:rFonts w:ascii="Times New Roman" w:eastAsiaTheme="minorHAnsi" w:hAnsi="Times New Roman" w:cs="Times New Roman"/>
          <w:color w:val="000000" w:themeColor="text1"/>
          <w:sz w:val="24"/>
          <w:szCs w:val="24"/>
          <w:lang w:eastAsia="en-US"/>
        </w:rPr>
        <w:t xml:space="preserve">Mając na uwadze przepisy prawa UE, które odwołują się do terminu </w:t>
      </w:r>
      <w:r w:rsidR="00A94BA9" w:rsidRPr="001B0139">
        <w:rPr>
          <w:rFonts w:ascii="Times New Roman" w:eastAsiaTheme="minorHAnsi" w:hAnsi="Times New Roman" w:cs="Times New Roman"/>
          <w:i/>
          <w:color w:val="000000" w:themeColor="text1"/>
          <w:sz w:val="24"/>
          <w:szCs w:val="24"/>
          <w:lang w:eastAsia="en-US"/>
        </w:rPr>
        <w:t>,,system krajowy”</w:t>
      </w:r>
      <w:r w:rsidR="00A94BA9" w:rsidRPr="001B0139">
        <w:rPr>
          <w:rFonts w:ascii="Times New Roman" w:eastAsiaTheme="minorHAnsi" w:hAnsi="Times New Roman" w:cs="Times New Roman"/>
          <w:color w:val="000000" w:themeColor="text1"/>
          <w:sz w:val="24"/>
          <w:szCs w:val="24"/>
          <w:lang w:eastAsia="en-US"/>
        </w:rPr>
        <w:t xml:space="preserve"> oraz  podkreślanie przez Komisję Europejską  ,,rozdzielności” technicznej, funkcjonalnej </w:t>
      </w:r>
      <w:r w:rsidR="007258D6" w:rsidRPr="001B0139">
        <w:rPr>
          <w:rFonts w:ascii="Times New Roman" w:eastAsiaTheme="minorHAnsi" w:hAnsi="Times New Roman" w:cs="Times New Roman"/>
          <w:color w:val="000000" w:themeColor="text1"/>
          <w:sz w:val="24"/>
          <w:szCs w:val="24"/>
          <w:lang w:eastAsia="en-US"/>
        </w:rPr>
        <w:t>i </w:t>
      </w:r>
      <w:r w:rsidR="00A94BA9" w:rsidRPr="001B0139">
        <w:rPr>
          <w:rFonts w:ascii="Times New Roman" w:eastAsiaTheme="minorHAnsi" w:hAnsi="Times New Roman" w:cs="Times New Roman"/>
          <w:color w:val="000000" w:themeColor="text1"/>
          <w:sz w:val="24"/>
          <w:szCs w:val="24"/>
          <w:lang w:eastAsia="en-US"/>
        </w:rPr>
        <w:t xml:space="preserve">logicznej zakresu obu systemów </w:t>
      </w:r>
      <w:r w:rsidR="009D0E3B" w:rsidRPr="001B0139">
        <w:rPr>
          <w:rFonts w:ascii="Times New Roman" w:eastAsiaTheme="minorHAnsi" w:hAnsi="Times New Roman" w:cs="Times New Roman"/>
          <w:color w:val="000000" w:themeColor="text1"/>
          <w:sz w:val="24"/>
          <w:szCs w:val="24"/>
          <w:lang w:eastAsia="en-US"/>
        </w:rPr>
        <w:t xml:space="preserve">– </w:t>
      </w:r>
      <w:r w:rsidR="00A94BA9" w:rsidRPr="001B0139">
        <w:rPr>
          <w:rFonts w:ascii="Times New Roman" w:eastAsiaTheme="minorHAnsi" w:hAnsi="Times New Roman" w:cs="Times New Roman"/>
          <w:color w:val="000000" w:themeColor="text1"/>
          <w:sz w:val="24"/>
          <w:szCs w:val="24"/>
          <w:lang w:eastAsia="en-US"/>
        </w:rPr>
        <w:t>krajowej odprawy (Krajowa Infrastruktura Graniczna) i</w:t>
      </w:r>
      <w:r w:rsidR="007258D6" w:rsidRPr="001B0139">
        <w:rPr>
          <w:rFonts w:ascii="Times New Roman" w:eastAsiaTheme="minorHAnsi" w:hAnsi="Times New Roman" w:cs="Times New Roman"/>
          <w:color w:val="000000" w:themeColor="text1"/>
          <w:sz w:val="24"/>
          <w:szCs w:val="24"/>
          <w:lang w:eastAsia="en-US"/>
        </w:rPr>
        <w:t> </w:t>
      </w:r>
      <w:r w:rsidR="00A94BA9" w:rsidRPr="001B0139">
        <w:rPr>
          <w:rFonts w:ascii="Times New Roman" w:eastAsiaTheme="minorHAnsi" w:hAnsi="Times New Roman" w:cs="Times New Roman"/>
          <w:color w:val="000000" w:themeColor="text1"/>
          <w:sz w:val="24"/>
          <w:szCs w:val="24"/>
          <w:lang w:eastAsia="en-US"/>
        </w:rPr>
        <w:t>EES, projektodawca</w:t>
      </w:r>
      <w:r w:rsidR="00643ACD" w:rsidRPr="001B0139">
        <w:rPr>
          <w:rFonts w:ascii="Times New Roman" w:eastAsiaTheme="minorHAnsi" w:hAnsi="Times New Roman" w:cs="Times New Roman"/>
          <w:color w:val="000000" w:themeColor="text1"/>
          <w:sz w:val="24"/>
          <w:szCs w:val="24"/>
          <w:lang w:eastAsia="en-US"/>
        </w:rPr>
        <w:t>,</w:t>
      </w:r>
      <w:r w:rsidR="00A94BA9" w:rsidRPr="001B0139">
        <w:rPr>
          <w:rFonts w:ascii="Times New Roman" w:eastAsiaTheme="minorHAnsi" w:hAnsi="Times New Roman" w:cs="Times New Roman"/>
          <w:color w:val="000000" w:themeColor="text1"/>
          <w:sz w:val="24"/>
          <w:szCs w:val="24"/>
          <w:lang w:eastAsia="en-US"/>
        </w:rPr>
        <w:t xml:space="preserve"> dążąc do najlepszych rozwiązań zmierzających do wdrożenia EES</w:t>
      </w:r>
      <w:r w:rsidR="00643ACD" w:rsidRPr="001B0139">
        <w:rPr>
          <w:rFonts w:ascii="Times New Roman" w:eastAsiaTheme="minorHAnsi" w:hAnsi="Times New Roman" w:cs="Times New Roman"/>
          <w:color w:val="000000" w:themeColor="text1"/>
          <w:sz w:val="24"/>
          <w:szCs w:val="24"/>
          <w:lang w:eastAsia="en-US"/>
        </w:rPr>
        <w:t>,</w:t>
      </w:r>
      <w:r w:rsidR="00E028E0" w:rsidRPr="001B0139">
        <w:rPr>
          <w:rFonts w:ascii="Times New Roman" w:eastAsiaTheme="minorHAnsi" w:hAnsi="Times New Roman" w:cs="Times New Roman"/>
          <w:color w:val="000000" w:themeColor="text1"/>
          <w:sz w:val="24"/>
          <w:szCs w:val="24"/>
          <w:lang w:eastAsia="en-US"/>
        </w:rPr>
        <w:t xml:space="preserve"> </w:t>
      </w:r>
      <w:r w:rsidR="00A94BA9" w:rsidRPr="001B0139">
        <w:rPr>
          <w:rFonts w:ascii="Times New Roman" w:eastAsiaTheme="minorHAnsi" w:hAnsi="Times New Roman" w:cs="Times New Roman"/>
          <w:color w:val="000000" w:themeColor="text1"/>
          <w:sz w:val="24"/>
          <w:szCs w:val="24"/>
          <w:lang w:eastAsia="en-US"/>
        </w:rPr>
        <w:t>przeanalizował  możliwości techniczne i prawne służące zarówno zoptymalizowaniu samej odprawy granicznej, jak i związanych z nią procesów przetwarzania danych w</w:t>
      </w:r>
      <w:r w:rsidR="007258D6" w:rsidRPr="001B0139">
        <w:rPr>
          <w:rFonts w:ascii="Times New Roman" w:eastAsiaTheme="minorHAnsi" w:hAnsi="Times New Roman" w:cs="Times New Roman"/>
          <w:color w:val="000000" w:themeColor="text1"/>
          <w:sz w:val="24"/>
          <w:szCs w:val="24"/>
          <w:lang w:eastAsia="en-US"/>
        </w:rPr>
        <w:t> </w:t>
      </w:r>
      <w:r w:rsidR="00A94BA9" w:rsidRPr="001B0139">
        <w:rPr>
          <w:rFonts w:ascii="Times New Roman" w:eastAsiaTheme="minorHAnsi" w:hAnsi="Times New Roman" w:cs="Times New Roman"/>
          <w:color w:val="000000" w:themeColor="text1"/>
          <w:sz w:val="24"/>
          <w:szCs w:val="24"/>
          <w:lang w:eastAsia="en-US"/>
        </w:rPr>
        <w:t>Zintegrowanym Systemie Ewidencji 6 (system zawierający moduły odpraw granicznych oraz moduły obsługi administracyjnej cudzoziemców), zwanym dalej „ZSE6” – w tym archiwizowania w interesie publicznym danych osobowych.</w:t>
      </w:r>
    </w:p>
    <w:p w:rsidR="00A94BA9" w:rsidRPr="001B0139" w:rsidRDefault="00A94BA9" w:rsidP="00A94BA9">
      <w:pPr>
        <w:widowControl/>
        <w:autoSpaceDE/>
        <w:autoSpaceDN/>
        <w:adjustRightInd/>
        <w:spacing w:line="360" w:lineRule="auto"/>
        <w:ind w:firstLine="708"/>
        <w:jc w:val="both"/>
        <w:rPr>
          <w:rFonts w:ascii="Times New Roman" w:eastAsiaTheme="minorHAnsi" w:hAnsi="Times New Roman" w:cs="Times New Roman"/>
          <w:color w:val="000000" w:themeColor="text1"/>
          <w:sz w:val="24"/>
          <w:szCs w:val="24"/>
          <w:lang w:eastAsia="en-US"/>
        </w:rPr>
      </w:pPr>
      <w:r w:rsidRPr="001B0139">
        <w:rPr>
          <w:rFonts w:ascii="Times New Roman" w:eastAsiaTheme="minorHAnsi" w:hAnsi="Times New Roman" w:cs="Times New Roman"/>
          <w:color w:val="000000" w:themeColor="text1"/>
          <w:sz w:val="24"/>
          <w:szCs w:val="24"/>
          <w:lang w:eastAsia="en-US"/>
        </w:rPr>
        <w:t>Rozłączne rozwiązania krajowe w zakresie danych funkcjonujących w systemie odpraw oraz w EES pozwolą na zachowanie pełnej autonomii funkcjonowania krajowego systemu odpraw w celu realizacji zadań służbowych Straży Granicznej w oparciu o przepisy prawa krajowego i prawa UE, a także bez uszczerbku dla zasad ogólnych przechowywania danych pobranych z EES, jak również – przy zastosowaniu odpowiednich regulacji prawnych – pozwolą na przechowywanie danych pobranych z EES do ZSE6 na zasadzie wyjątku (mo</w:t>
      </w:r>
      <w:r w:rsidR="00EE3125" w:rsidRPr="001B0139">
        <w:rPr>
          <w:rFonts w:ascii="Times New Roman" w:eastAsiaTheme="minorHAnsi" w:hAnsi="Times New Roman" w:cs="Times New Roman"/>
          <w:color w:val="000000" w:themeColor="text1"/>
          <w:sz w:val="24"/>
          <w:szCs w:val="24"/>
          <w:lang w:eastAsia="en-US"/>
        </w:rPr>
        <w:t>tyw 36 i 37 rozporządzenia EES,</w:t>
      </w:r>
      <w:r w:rsidRPr="001B0139">
        <w:rPr>
          <w:rFonts w:ascii="Times New Roman" w:eastAsiaTheme="minorHAnsi" w:hAnsi="Times New Roman" w:cs="Times New Roman"/>
          <w:color w:val="000000" w:themeColor="text1"/>
          <w:sz w:val="24"/>
          <w:szCs w:val="24"/>
          <w:lang w:eastAsia="en-US"/>
        </w:rPr>
        <w:t xml:space="preserve"> o których mowa wyżej), a ponadto na przechowywanie danych, co do których zachodzi konieczność dłuższego ich przechowywania (dane w ZSE6) m.</w:t>
      </w:r>
      <w:r w:rsidR="007258D6" w:rsidRPr="001B0139">
        <w:rPr>
          <w:rFonts w:ascii="Times New Roman" w:eastAsiaTheme="minorHAnsi" w:hAnsi="Times New Roman" w:cs="Times New Roman"/>
          <w:color w:val="000000" w:themeColor="text1"/>
          <w:sz w:val="24"/>
          <w:szCs w:val="24"/>
          <w:lang w:eastAsia="en-US"/>
        </w:rPr>
        <w:t xml:space="preserve"> </w:t>
      </w:r>
      <w:r w:rsidRPr="001B0139">
        <w:rPr>
          <w:rFonts w:ascii="Times New Roman" w:eastAsiaTheme="minorHAnsi" w:hAnsi="Times New Roman" w:cs="Times New Roman"/>
          <w:color w:val="000000" w:themeColor="text1"/>
          <w:sz w:val="24"/>
          <w:szCs w:val="24"/>
          <w:lang w:eastAsia="en-US"/>
        </w:rPr>
        <w:t xml:space="preserve">in. </w:t>
      </w:r>
      <w:r w:rsidR="007258D6" w:rsidRPr="001B0139">
        <w:rPr>
          <w:rFonts w:ascii="Times New Roman" w:eastAsiaTheme="minorHAnsi" w:hAnsi="Times New Roman" w:cs="Times New Roman"/>
          <w:color w:val="000000" w:themeColor="text1"/>
          <w:sz w:val="24"/>
          <w:szCs w:val="24"/>
          <w:lang w:eastAsia="en-US"/>
        </w:rPr>
        <w:t>z </w:t>
      </w:r>
      <w:r w:rsidRPr="001B0139">
        <w:rPr>
          <w:rFonts w:ascii="Times New Roman" w:eastAsiaTheme="minorHAnsi" w:hAnsi="Times New Roman" w:cs="Times New Roman"/>
          <w:color w:val="000000" w:themeColor="text1"/>
          <w:sz w:val="24"/>
          <w:szCs w:val="24"/>
          <w:lang w:eastAsia="en-US"/>
        </w:rPr>
        <w:t xml:space="preserve">uwagi na interes </w:t>
      </w:r>
      <w:r w:rsidRPr="001B0139">
        <w:rPr>
          <w:rFonts w:ascii="Times New Roman" w:eastAsiaTheme="minorHAnsi" w:hAnsi="Times New Roman" w:cs="Times New Roman"/>
          <w:color w:val="000000" w:themeColor="text1"/>
          <w:sz w:val="24"/>
          <w:szCs w:val="24"/>
          <w:lang w:eastAsia="en-US"/>
        </w:rPr>
        <w:lastRenderedPageBreak/>
        <w:t>publiczny, do celów ochrony przed zagrożeniami dla bezpieczeństwa publicznego i zapobiegania takim zagrożeniom.</w:t>
      </w:r>
    </w:p>
    <w:p w:rsidR="00A94BA9" w:rsidRPr="001B0139" w:rsidRDefault="00A94BA9" w:rsidP="00A94BA9">
      <w:pPr>
        <w:widowControl/>
        <w:autoSpaceDE/>
        <w:autoSpaceDN/>
        <w:adjustRightInd/>
        <w:spacing w:line="360" w:lineRule="auto"/>
        <w:ind w:firstLine="708"/>
        <w:jc w:val="both"/>
        <w:rPr>
          <w:rFonts w:ascii="Times New Roman" w:hAnsi="Times New Roman" w:cs="Times New Roman"/>
          <w:color w:val="FF0000"/>
          <w:sz w:val="24"/>
          <w:szCs w:val="24"/>
        </w:rPr>
      </w:pPr>
      <w:r w:rsidRPr="001B0139">
        <w:rPr>
          <w:rFonts w:ascii="Times New Roman" w:eastAsiaTheme="minorHAnsi" w:hAnsi="Times New Roman" w:cs="Times New Roman"/>
          <w:color w:val="000000" w:themeColor="text1"/>
          <w:sz w:val="24"/>
          <w:szCs w:val="24"/>
          <w:lang w:eastAsia="en-US"/>
        </w:rPr>
        <w:t xml:space="preserve">Takie rozwiązanie będzie również  wykonaniem zaleceń misji ewaluacyjnej Schengen przeprowadzonej w 2021 r. przez Komisję Europejską, </w:t>
      </w:r>
      <w:r w:rsidRPr="001B0139">
        <w:rPr>
          <w:rFonts w:ascii="Times New Roman" w:hAnsi="Times New Roman" w:cs="Times New Roman"/>
          <w:color w:val="000000" w:themeColor="text1"/>
          <w:sz w:val="24"/>
          <w:szCs w:val="24"/>
        </w:rPr>
        <w:t xml:space="preserve">wynikiem której były stwierdzone naruszenia związane z rejestracją w systemie odpraw obywateli Unii Europejskiej i członków ich rodzin, co – zdaniem misji ewaluacyjnej – stanowi ograniczenie swobody przemieszczania się, tj. naruszenie art. 21 Traktatu o funkcjonowaniu Unii Europejskiej (Dz. U. z 2004 r. poz. 864/2) i art. 5 ust. 1 dyrektywy 2004/38/WE Parlamentu Europejskiego i Rady w sprawie prawa obywateli Unii i członków ich rodzin do swobodnego przemieszczania się i pobytu </w:t>
      </w:r>
      <w:r w:rsidR="007258D6" w:rsidRPr="001B0139">
        <w:rPr>
          <w:rFonts w:ascii="Times New Roman" w:hAnsi="Times New Roman" w:cs="Times New Roman"/>
          <w:color w:val="000000" w:themeColor="text1"/>
          <w:sz w:val="24"/>
          <w:szCs w:val="24"/>
        </w:rPr>
        <w:t>na </w:t>
      </w:r>
      <w:r w:rsidRPr="001B0139">
        <w:rPr>
          <w:rFonts w:ascii="Times New Roman" w:hAnsi="Times New Roman" w:cs="Times New Roman"/>
          <w:color w:val="000000" w:themeColor="text1"/>
          <w:sz w:val="24"/>
          <w:szCs w:val="24"/>
        </w:rPr>
        <w:t xml:space="preserve">terytorium Państw Członkowskich, zmieniającej rozporządzenie (EWG) nr 1612/68 </w:t>
      </w:r>
      <w:r w:rsidR="007258D6" w:rsidRPr="001B0139">
        <w:rPr>
          <w:rFonts w:ascii="Times New Roman" w:hAnsi="Times New Roman" w:cs="Times New Roman"/>
          <w:color w:val="000000" w:themeColor="text1"/>
          <w:sz w:val="24"/>
          <w:szCs w:val="24"/>
        </w:rPr>
        <w:t>i </w:t>
      </w:r>
      <w:r w:rsidRPr="001B0139">
        <w:rPr>
          <w:rFonts w:ascii="Times New Roman" w:hAnsi="Times New Roman" w:cs="Times New Roman"/>
          <w:color w:val="000000" w:themeColor="text1"/>
          <w:sz w:val="24"/>
          <w:szCs w:val="24"/>
        </w:rPr>
        <w:t>uchylającej dyrektywę 64/221/EWG, 68/360/EWG, 72/194/EWG, 73/148/EWG, 75/34/EWG, 75/35/EWG, 90/364/EWG, 90/365/EWG i 93/96/EWG</w:t>
      </w:r>
      <w:r w:rsidR="007C77BA">
        <w:rPr>
          <w:rFonts w:ascii="Times New Roman" w:hAnsi="Times New Roman" w:cs="Times New Roman"/>
          <w:color w:val="000000" w:themeColor="text1"/>
          <w:sz w:val="24"/>
          <w:szCs w:val="24"/>
        </w:rPr>
        <w:t>.</w:t>
      </w:r>
    </w:p>
    <w:p w:rsidR="00A94BA9" w:rsidRPr="001B0139" w:rsidRDefault="00A94BA9" w:rsidP="00A94BA9">
      <w:pPr>
        <w:widowControl/>
        <w:autoSpaceDE/>
        <w:autoSpaceDN/>
        <w:adjustRightInd/>
        <w:spacing w:line="360" w:lineRule="auto"/>
        <w:ind w:firstLine="708"/>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Mając na uwadze powyższe, a także złożoność materii dotyczącej wdrożenia EES oraz, w dalszej perspektywie czasowej projekt o jeszcze większym stopniu skomplikowania jakim jest wdrożenie ram interoperacyjności systemów wielkoskalowych, projektodawca uznał za</w:t>
      </w:r>
      <w:r w:rsidR="007258D6"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 xml:space="preserve">konieczne jednolite uwzględnienie w przepisach prawa krajowego na poziomie ustawowym regulacji dotyczących Centralnego Systemu Informatycznego Straży Granicznej, jako nieodzownego instrumentu do pełnienia służby i wykonywania ustawowych zadań służbowych tej formacji. </w:t>
      </w:r>
    </w:p>
    <w:p w:rsidR="00B61062" w:rsidRPr="001B0139" w:rsidRDefault="00B61062" w:rsidP="00A94BA9">
      <w:pPr>
        <w:widowControl/>
        <w:autoSpaceDE/>
        <w:autoSpaceDN/>
        <w:adjustRightInd/>
        <w:spacing w:line="360" w:lineRule="auto"/>
        <w:ind w:firstLine="708"/>
        <w:jc w:val="both"/>
        <w:rPr>
          <w:rFonts w:ascii="Times New Roman" w:hAnsi="Times New Roman" w:cs="Times New Roman"/>
          <w:color w:val="000000" w:themeColor="text1"/>
          <w:sz w:val="24"/>
          <w:szCs w:val="24"/>
        </w:rPr>
      </w:pPr>
    </w:p>
    <w:p w:rsidR="00643ACD" w:rsidRPr="001B0139" w:rsidRDefault="00643ACD" w:rsidP="008E61DB">
      <w:pPr>
        <w:widowControl/>
        <w:autoSpaceDE/>
        <w:autoSpaceDN/>
        <w:adjustRightInd/>
        <w:spacing w:line="360" w:lineRule="auto"/>
        <w:jc w:val="both"/>
        <w:rPr>
          <w:rFonts w:ascii="Times New Roman" w:hAnsi="Times New Roman" w:cs="Times New Roman"/>
          <w:b/>
          <w:sz w:val="24"/>
          <w:szCs w:val="24"/>
        </w:rPr>
      </w:pPr>
      <w:r w:rsidRPr="001B0139">
        <w:rPr>
          <w:rFonts w:ascii="Times New Roman" w:hAnsi="Times New Roman" w:cs="Times New Roman"/>
          <w:b/>
          <w:sz w:val="24"/>
          <w:szCs w:val="24"/>
        </w:rPr>
        <w:t>Zmiany w obowiązujących przepisach:</w:t>
      </w:r>
    </w:p>
    <w:p w:rsidR="008E61DB" w:rsidRPr="001B0139" w:rsidRDefault="004D6497" w:rsidP="007258D6">
      <w:pPr>
        <w:widowControl/>
        <w:autoSpaceDE/>
        <w:autoSpaceDN/>
        <w:adjustRightInd/>
        <w:spacing w:line="360" w:lineRule="auto"/>
        <w:ind w:firstLine="708"/>
        <w:jc w:val="both"/>
        <w:rPr>
          <w:rFonts w:ascii="Times New Roman" w:hAnsi="Times New Roman" w:cs="Times New Roman"/>
        </w:rPr>
      </w:pPr>
      <w:r w:rsidRPr="001B0139">
        <w:rPr>
          <w:rFonts w:ascii="Times New Roman" w:hAnsi="Times New Roman" w:cs="Times New Roman"/>
          <w:color w:val="000000" w:themeColor="text1"/>
          <w:sz w:val="24"/>
          <w:szCs w:val="24"/>
        </w:rPr>
        <w:t xml:space="preserve">Projekt zakłada wprowadzenie zmian w </w:t>
      </w:r>
      <w:r w:rsidR="008E61DB" w:rsidRPr="001B0139">
        <w:rPr>
          <w:rFonts w:ascii="Times New Roman" w:hAnsi="Times New Roman" w:cs="Times New Roman"/>
          <w:color w:val="000000" w:themeColor="text1"/>
          <w:sz w:val="24"/>
          <w:szCs w:val="24"/>
        </w:rPr>
        <w:t xml:space="preserve">ustawie </w:t>
      </w:r>
      <w:r w:rsidR="008E61DB" w:rsidRPr="001B0139">
        <w:rPr>
          <w:rFonts w:ascii="Times New Roman" w:hAnsi="Times New Roman" w:cs="Times New Roman"/>
          <w:sz w:val="24"/>
          <w:szCs w:val="24"/>
        </w:rPr>
        <w:t xml:space="preserve">z dnia 6 kwietnia 1990 r. </w:t>
      </w:r>
      <w:r w:rsidR="008E61DB" w:rsidRPr="001B0139">
        <w:rPr>
          <w:rFonts w:ascii="Times New Roman" w:hAnsi="Times New Roman" w:cs="Times New Roman"/>
          <w:b/>
          <w:sz w:val="24"/>
          <w:szCs w:val="24"/>
        </w:rPr>
        <w:t>o Policji</w:t>
      </w:r>
      <w:r w:rsidR="008E61DB" w:rsidRPr="001B0139">
        <w:rPr>
          <w:rFonts w:ascii="Times New Roman" w:hAnsi="Times New Roman" w:cs="Times New Roman"/>
          <w:sz w:val="24"/>
          <w:szCs w:val="24"/>
        </w:rPr>
        <w:t xml:space="preserve"> (Dz.</w:t>
      </w:r>
      <w:r w:rsidR="007258D6" w:rsidRPr="001B0139">
        <w:rPr>
          <w:rFonts w:ascii="Times New Roman" w:hAnsi="Times New Roman" w:cs="Times New Roman"/>
          <w:sz w:val="24"/>
          <w:szCs w:val="24"/>
        </w:rPr>
        <w:t> </w:t>
      </w:r>
      <w:r w:rsidR="008E61DB" w:rsidRPr="001B0139">
        <w:rPr>
          <w:rFonts w:ascii="Times New Roman" w:hAnsi="Times New Roman" w:cs="Times New Roman"/>
          <w:sz w:val="24"/>
          <w:szCs w:val="24"/>
        </w:rPr>
        <w:t>U. z</w:t>
      </w:r>
      <w:r w:rsidR="007258D6" w:rsidRPr="001B0139">
        <w:rPr>
          <w:rFonts w:ascii="Times New Roman" w:hAnsi="Times New Roman" w:cs="Times New Roman"/>
          <w:sz w:val="24"/>
          <w:szCs w:val="24"/>
        </w:rPr>
        <w:t> </w:t>
      </w:r>
      <w:r w:rsidR="008E61DB" w:rsidRPr="001B0139">
        <w:rPr>
          <w:rFonts w:ascii="Times New Roman" w:hAnsi="Times New Roman" w:cs="Times New Roman"/>
          <w:sz w:val="24"/>
          <w:szCs w:val="24"/>
        </w:rPr>
        <w:t xml:space="preserve">2024 r. poz. 145) w zakresie uprawnień Policji do przetwarzania danych biometrycznych </w:t>
      </w:r>
      <w:r w:rsidR="007258D6" w:rsidRPr="001B0139">
        <w:rPr>
          <w:rFonts w:ascii="Times New Roman" w:hAnsi="Times New Roman" w:cs="Times New Roman"/>
          <w:sz w:val="24"/>
          <w:szCs w:val="24"/>
        </w:rPr>
        <w:t>w </w:t>
      </w:r>
      <w:r w:rsidR="008E61DB" w:rsidRPr="001B0139">
        <w:rPr>
          <w:rFonts w:ascii="Times New Roman" w:hAnsi="Times New Roman" w:cs="Times New Roman"/>
          <w:sz w:val="24"/>
          <w:szCs w:val="24"/>
        </w:rPr>
        <w:t>celach identyfikacji i weryfikacji tożsamości osób w związku z realizacją zadań ustawowych, co wynika z motywów 20, 21, 22 i 25 rozporządzenia 2017/2226</w:t>
      </w:r>
      <w:r w:rsidR="008E61DB" w:rsidRPr="001B0139">
        <w:rPr>
          <w:rFonts w:ascii="Times New Roman" w:hAnsi="Times New Roman" w:cs="Times New Roman"/>
        </w:rPr>
        <w:t>.</w:t>
      </w:r>
    </w:p>
    <w:p w:rsidR="007258D6" w:rsidRPr="001B0139" w:rsidRDefault="007258D6" w:rsidP="007258D6">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lastRenderedPageBreak/>
        <w:t xml:space="preserve">Przyjęto rozwiązanie, w którym zamiast wskazywać konkretne przepisy </w:t>
      </w:r>
      <w:r w:rsidR="00646BA5">
        <w:rPr>
          <w:rFonts w:ascii="Times New Roman" w:hAnsi="Times New Roman" w:cs="Times New Roman"/>
          <w:sz w:val="24"/>
          <w:szCs w:val="24"/>
        </w:rPr>
        <w:t xml:space="preserve">prawa </w:t>
      </w:r>
      <w:r w:rsidRPr="001B0139">
        <w:rPr>
          <w:rFonts w:ascii="Times New Roman" w:hAnsi="Times New Roman" w:cs="Times New Roman"/>
          <w:sz w:val="24"/>
          <w:szCs w:val="24"/>
        </w:rPr>
        <w:t xml:space="preserve">Unii Europejskiej, określające uprawnienia Policji do korzystania z danych z ECRIS-TCN, zastosowano </w:t>
      </w:r>
      <w:r w:rsidRPr="003973C0">
        <w:rPr>
          <w:rFonts w:ascii="Times New Roman" w:hAnsi="Times New Roman" w:cs="Times New Roman"/>
          <w:sz w:val="24"/>
          <w:szCs w:val="24"/>
        </w:rPr>
        <w:t xml:space="preserve">na zasadzie analogii odwołanie odnoszące się do przetwarzania danych bez odniesienia się do konkretnych przepisów. Uszczegółowienie i dookreślenie spowodowałoby rozbieżność </w:t>
      </w:r>
      <w:r w:rsidR="003973C0" w:rsidRPr="003973C0">
        <w:rPr>
          <w:rFonts w:ascii="Times New Roman" w:hAnsi="Times New Roman" w:cs="Times New Roman"/>
          <w:sz w:val="24"/>
          <w:szCs w:val="24"/>
        </w:rPr>
        <w:t xml:space="preserve">między </w:t>
      </w:r>
      <w:r w:rsidRPr="003973C0">
        <w:rPr>
          <w:rFonts w:ascii="Times New Roman" w:hAnsi="Times New Roman" w:cs="Times New Roman"/>
          <w:sz w:val="24"/>
          <w:szCs w:val="24"/>
        </w:rPr>
        <w:t>dotychczasow</w:t>
      </w:r>
      <w:r w:rsidR="003973C0" w:rsidRPr="003973C0">
        <w:rPr>
          <w:rFonts w:ascii="Times New Roman" w:hAnsi="Times New Roman" w:cs="Times New Roman"/>
          <w:sz w:val="24"/>
          <w:szCs w:val="24"/>
        </w:rPr>
        <w:t>ym</w:t>
      </w:r>
      <w:r w:rsidRPr="003973C0">
        <w:rPr>
          <w:rFonts w:ascii="Times New Roman" w:hAnsi="Times New Roman" w:cs="Times New Roman"/>
          <w:sz w:val="24"/>
          <w:szCs w:val="24"/>
        </w:rPr>
        <w:t xml:space="preserve"> brzmienie</w:t>
      </w:r>
      <w:r w:rsidR="003973C0" w:rsidRPr="003973C0">
        <w:rPr>
          <w:rFonts w:ascii="Times New Roman" w:hAnsi="Times New Roman" w:cs="Times New Roman"/>
          <w:sz w:val="24"/>
          <w:szCs w:val="24"/>
        </w:rPr>
        <w:t>m</w:t>
      </w:r>
      <w:r w:rsidRPr="003973C0">
        <w:rPr>
          <w:rFonts w:ascii="Times New Roman" w:hAnsi="Times New Roman" w:cs="Times New Roman"/>
          <w:sz w:val="24"/>
          <w:szCs w:val="24"/>
        </w:rPr>
        <w:t xml:space="preserve"> odwołując</w:t>
      </w:r>
      <w:r w:rsidR="003973C0" w:rsidRPr="003973C0">
        <w:rPr>
          <w:rFonts w:ascii="Times New Roman" w:hAnsi="Times New Roman" w:cs="Times New Roman"/>
          <w:sz w:val="24"/>
          <w:szCs w:val="24"/>
        </w:rPr>
        <w:t>ym</w:t>
      </w:r>
      <w:r w:rsidRPr="003973C0">
        <w:rPr>
          <w:rFonts w:ascii="Times New Roman" w:hAnsi="Times New Roman" w:cs="Times New Roman"/>
          <w:sz w:val="24"/>
          <w:szCs w:val="24"/>
        </w:rPr>
        <w:t xml:space="preserve"> się do systemów, z których korzysta Policja a dookreślenie</w:t>
      </w:r>
      <w:r w:rsidR="003973C0" w:rsidRPr="003973C0">
        <w:rPr>
          <w:rFonts w:ascii="Times New Roman" w:hAnsi="Times New Roman" w:cs="Times New Roman"/>
          <w:sz w:val="24"/>
          <w:szCs w:val="24"/>
        </w:rPr>
        <w:t>m</w:t>
      </w:r>
      <w:r w:rsidRPr="003973C0">
        <w:rPr>
          <w:rFonts w:ascii="Times New Roman" w:hAnsi="Times New Roman" w:cs="Times New Roman"/>
          <w:sz w:val="24"/>
          <w:szCs w:val="24"/>
        </w:rPr>
        <w:t xml:space="preserve"> dostępu do systemu ECRIS-TCN.</w:t>
      </w:r>
      <w:r w:rsidRPr="001B0139">
        <w:rPr>
          <w:rFonts w:ascii="Times New Roman" w:hAnsi="Times New Roman" w:cs="Times New Roman"/>
          <w:sz w:val="24"/>
          <w:szCs w:val="24"/>
        </w:rPr>
        <w:t xml:space="preserve"> </w:t>
      </w:r>
    </w:p>
    <w:p w:rsidR="007258D6" w:rsidRPr="001B0139" w:rsidRDefault="007258D6" w:rsidP="007258D6">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Ponadto wymagałoby </w:t>
      </w:r>
      <w:r w:rsidR="00F82111">
        <w:rPr>
          <w:rFonts w:ascii="Times New Roman" w:hAnsi="Times New Roman" w:cs="Times New Roman"/>
          <w:sz w:val="24"/>
          <w:szCs w:val="24"/>
        </w:rPr>
        <w:t xml:space="preserve">to </w:t>
      </w:r>
      <w:r w:rsidRPr="001B0139">
        <w:rPr>
          <w:rFonts w:ascii="Times New Roman" w:hAnsi="Times New Roman" w:cs="Times New Roman"/>
          <w:sz w:val="24"/>
          <w:szCs w:val="24"/>
        </w:rPr>
        <w:t>jednocześnie wskazania podstaw prawnych korzystania przez Policję z danych z pozostałych systemów wymienionych w tym przepisie, co spowodowałoby znaczną obszerność i nieczytelność projektowanej regulacji.</w:t>
      </w:r>
    </w:p>
    <w:p w:rsidR="007258D6" w:rsidRPr="001B0139" w:rsidRDefault="007258D6" w:rsidP="007258D6">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Wskazać również należy, że w </w:t>
      </w:r>
      <w:r w:rsidR="00646BA5">
        <w:rPr>
          <w:rFonts w:ascii="Times New Roman" w:hAnsi="Times New Roman" w:cs="Times New Roman"/>
          <w:sz w:val="24"/>
          <w:szCs w:val="24"/>
        </w:rPr>
        <w:t xml:space="preserve"> celu dostosowania</w:t>
      </w:r>
      <w:r w:rsidRPr="001B0139">
        <w:rPr>
          <w:rFonts w:ascii="Times New Roman" w:hAnsi="Times New Roman" w:cs="Times New Roman"/>
          <w:sz w:val="24"/>
          <w:szCs w:val="24"/>
        </w:rPr>
        <w:t xml:space="preserve"> prawa krajowego do rozporządzenia Parlamentu Europejskiego i Rady (UE) 2019/816 z d</w:t>
      </w:r>
      <w:r w:rsidR="00AF71FF" w:rsidRPr="001B0139">
        <w:rPr>
          <w:rFonts w:ascii="Times New Roman" w:hAnsi="Times New Roman" w:cs="Times New Roman"/>
          <w:sz w:val="24"/>
          <w:szCs w:val="24"/>
        </w:rPr>
        <w:t>nia 17 kwietnia 2019 </w:t>
      </w:r>
      <w:r w:rsidRPr="001B0139">
        <w:rPr>
          <w:rFonts w:ascii="Times New Roman" w:hAnsi="Times New Roman" w:cs="Times New Roman"/>
          <w:sz w:val="24"/>
          <w:szCs w:val="24"/>
        </w:rPr>
        <w:t>r. ustanawiającego scentralizowany system służący do ustalania państw członkowskich posiadających informacje o wyrokach skazujących wydanych wobec obywateli państw t</w:t>
      </w:r>
      <w:r w:rsidR="00AF71FF" w:rsidRPr="001B0139">
        <w:rPr>
          <w:rFonts w:ascii="Times New Roman" w:hAnsi="Times New Roman" w:cs="Times New Roman"/>
          <w:sz w:val="24"/>
          <w:szCs w:val="24"/>
        </w:rPr>
        <w:t>rzecich i </w:t>
      </w:r>
      <w:r w:rsidRPr="001B0139">
        <w:rPr>
          <w:rFonts w:ascii="Times New Roman" w:hAnsi="Times New Roman" w:cs="Times New Roman"/>
          <w:sz w:val="24"/>
          <w:szCs w:val="24"/>
        </w:rPr>
        <w:t xml:space="preserve">bezpaństwowców (ECRIS-TCN) na potrzeby uzupełnienia europejskiego systemu przekazywania informacji z rejestrów karnych oraz zmieniające rozporządzenie (UE) 2018/1726 </w:t>
      </w:r>
      <w:r w:rsidR="00646BA5">
        <w:rPr>
          <w:rFonts w:ascii="Times New Roman" w:hAnsi="Times New Roman" w:cs="Times New Roman"/>
          <w:sz w:val="24"/>
          <w:szCs w:val="24"/>
        </w:rPr>
        <w:t>powinna powstać regulacja</w:t>
      </w:r>
      <w:r w:rsidRPr="001B0139">
        <w:rPr>
          <w:rFonts w:ascii="Times New Roman" w:hAnsi="Times New Roman" w:cs="Times New Roman"/>
          <w:sz w:val="24"/>
          <w:szCs w:val="24"/>
        </w:rPr>
        <w:t xml:space="preserve"> </w:t>
      </w:r>
      <w:r w:rsidR="00646BA5" w:rsidRPr="001B0139">
        <w:rPr>
          <w:rFonts w:ascii="Times New Roman" w:hAnsi="Times New Roman" w:cs="Times New Roman"/>
          <w:sz w:val="24"/>
          <w:szCs w:val="24"/>
        </w:rPr>
        <w:t>uwzględnia</w:t>
      </w:r>
      <w:r w:rsidR="00646BA5">
        <w:rPr>
          <w:rFonts w:ascii="Times New Roman" w:hAnsi="Times New Roman" w:cs="Times New Roman"/>
          <w:sz w:val="24"/>
          <w:szCs w:val="24"/>
        </w:rPr>
        <w:t>jąca</w:t>
      </w:r>
      <w:r w:rsidR="00646BA5" w:rsidRPr="001B0139">
        <w:rPr>
          <w:rFonts w:ascii="Times New Roman" w:hAnsi="Times New Roman" w:cs="Times New Roman"/>
          <w:sz w:val="24"/>
          <w:szCs w:val="24"/>
        </w:rPr>
        <w:t xml:space="preserve"> </w:t>
      </w:r>
      <w:r w:rsidRPr="001B0139">
        <w:rPr>
          <w:rFonts w:ascii="Times New Roman" w:hAnsi="Times New Roman" w:cs="Times New Roman"/>
          <w:sz w:val="24"/>
          <w:szCs w:val="24"/>
        </w:rPr>
        <w:t>przepisy, zgodnie z którymi Policja na polecenie organów ścigania</w:t>
      </w:r>
      <w:r w:rsidR="007C77BA">
        <w:rPr>
          <w:rFonts w:ascii="Times New Roman" w:hAnsi="Times New Roman" w:cs="Times New Roman"/>
          <w:sz w:val="24"/>
          <w:szCs w:val="24"/>
        </w:rPr>
        <w:t>, w zakresie wykonywanych przez te </w:t>
      </w:r>
      <w:r w:rsidRPr="001B0139">
        <w:rPr>
          <w:rFonts w:ascii="Times New Roman" w:hAnsi="Times New Roman" w:cs="Times New Roman"/>
          <w:sz w:val="24"/>
          <w:szCs w:val="24"/>
        </w:rPr>
        <w:t>organy zadań określonych w przepisach szczególnych, będzie pobiera</w:t>
      </w:r>
      <w:r w:rsidR="00AF71FF" w:rsidRPr="001B0139">
        <w:rPr>
          <w:rFonts w:ascii="Times New Roman" w:hAnsi="Times New Roman" w:cs="Times New Roman"/>
          <w:sz w:val="24"/>
          <w:szCs w:val="24"/>
        </w:rPr>
        <w:t>ć odciski linii papilarnych od o</w:t>
      </w:r>
      <w:r w:rsidRPr="001B0139">
        <w:rPr>
          <w:rFonts w:ascii="Times New Roman" w:hAnsi="Times New Roman" w:cs="Times New Roman"/>
          <w:sz w:val="24"/>
          <w:szCs w:val="24"/>
        </w:rPr>
        <w:t>bywatela państwa trzeciego w rozumieniu art. 3 pkt 7 ww. rozporządzenia. Dane te będą przechowywane w zbiorach danych daktyloskopijnych w celu prowadzenia czynności identyfikacyjnych. Centralne Laboratorium Kryminalistyczne Policji w ramach swoich uprawnień będzie zatem przetwarzać dane os</w:t>
      </w:r>
      <w:r w:rsidR="007C77BA">
        <w:rPr>
          <w:rFonts w:ascii="Times New Roman" w:hAnsi="Times New Roman" w:cs="Times New Roman"/>
          <w:sz w:val="24"/>
          <w:szCs w:val="24"/>
        </w:rPr>
        <w:t>obowe, które będą przekazane za </w:t>
      </w:r>
      <w:r w:rsidRPr="001B0139">
        <w:rPr>
          <w:rFonts w:ascii="Times New Roman" w:hAnsi="Times New Roman" w:cs="Times New Roman"/>
          <w:sz w:val="24"/>
          <w:szCs w:val="24"/>
        </w:rPr>
        <w:t xml:space="preserve">pośrednictwem Biura Informacyjnego Krajowego Rejestru Karnego z systemu ECRIS-TCN. Centralne Laboratorium Kryminalistyczne Policji nie będzie bezpośrednio korzystać z danych z systemu </w:t>
      </w:r>
      <w:r w:rsidRPr="001B0139">
        <w:rPr>
          <w:rFonts w:ascii="Times New Roman" w:hAnsi="Times New Roman" w:cs="Times New Roman"/>
          <w:sz w:val="24"/>
          <w:szCs w:val="24"/>
        </w:rPr>
        <w:lastRenderedPageBreak/>
        <w:t xml:space="preserve">ECRIS, a jedynie przetwarzać dane przekazane przez Biuro Informacyjne Krajowego Rejestru Karnego, bądź je do niego przekazywać. </w:t>
      </w:r>
    </w:p>
    <w:p w:rsidR="007258D6" w:rsidRPr="001B0139" w:rsidRDefault="007258D6" w:rsidP="007258D6">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Ustawa mająca na celu stosowanie przepisów rozporządzenia 2017/2226 pozostaje w związku z wdrożeniem jednoczesnego dostępu do VIS i EES i już na tym etapie jest związana z n</w:t>
      </w:r>
      <w:r w:rsidR="00AF71FF" w:rsidRPr="001B0139">
        <w:rPr>
          <w:rFonts w:ascii="Times New Roman" w:hAnsi="Times New Roman" w:cs="Times New Roman"/>
          <w:sz w:val="24"/>
          <w:szCs w:val="24"/>
        </w:rPr>
        <w:t>arzędziami interoperacyjności i </w:t>
      </w:r>
      <w:r w:rsidRPr="001B0139">
        <w:rPr>
          <w:rFonts w:ascii="Times New Roman" w:hAnsi="Times New Roman" w:cs="Times New Roman"/>
          <w:sz w:val="24"/>
          <w:szCs w:val="24"/>
        </w:rPr>
        <w:t>związanym z tym przetwarzaniem danych z tych systemów. Dlatego też zasadne jest wprowadzenie proponowanych rozwiązań dotyczących uprawnień Policji do przetwarzania danych ze wskazanych systemów, które będzie się odbywało według zasad dostępu do tych systemów określonych w przepisach innych rozporządzeń Unii Europejskiej.</w:t>
      </w:r>
    </w:p>
    <w:p w:rsidR="00AF71FF" w:rsidRPr="001B0139" w:rsidRDefault="00643ACD" w:rsidP="00AF71FF">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W ustawie z dnia 12 października 1990 r. </w:t>
      </w:r>
      <w:r w:rsidRPr="001B0139">
        <w:rPr>
          <w:rFonts w:ascii="Times New Roman" w:hAnsi="Times New Roman" w:cs="Times New Roman"/>
          <w:b/>
          <w:sz w:val="24"/>
          <w:szCs w:val="24"/>
        </w:rPr>
        <w:t>o Straży Granicznej</w:t>
      </w:r>
      <w:r w:rsidR="001B0139">
        <w:rPr>
          <w:rFonts w:ascii="Times New Roman" w:hAnsi="Times New Roman" w:cs="Times New Roman"/>
          <w:sz w:val="24"/>
          <w:szCs w:val="24"/>
        </w:rPr>
        <w:t xml:space="preserve"> (Dz. U. z </w:t>
      </w:r>
      <w:r w:rsidRPr="001B0139">
        <w:rPr>
          <w:rFonts w:ascii="Times New Roman" w:hAnsi="Times New Roman" w:cs="Times New Roman"/>
          <w:sz w:val="24"/>
          <w:szCs w:val="24"/>
        </w:rPr>
        <w:t>202</w:t>
      </w:r>
      <w:r w:rsidR="00AF71FF" w:rsidRPr="001B0139">
        <w:rPr>
          <w:rFonts w:ascii="Times New Roman" w:hAnsi="Times New Roman" w:cs="Times New Roman"/>
          <w:sz w:val="24"/>
          <w:szCs w:val="24"/>
        </w:rPr>
        <w:t>4 r. poz. 915</w:t>
      </w:r>
      <w:r w:rsidRPr="001B0139">
        <w:rPr>
          <w:rFonts w:ascii="Times New Roman" w:hAnsi="Times New Roman" w:cs="Times New Roman"/>
          <w:sz w:val="24"/>
          <w:szCs w:val="24"/>
        </w:rPr>
        <w:t xml:space="preserve">) niezbędne jest w szczególności zaktualizowanie brzmienia art. </w:t>
      </w:r>
      <w:r w:rsidR="00AF71FF" w:rsidRPr="001B0139">
        <w:rPr>
          <w:rFonts w:ascii="Times New Roman" w:hAnsi="Times New Roman" w:cs="Times New Roman"/>
          <w:sz w:val="24"/>
          <w:szCs w:val="24"/>
        </w:rPr>
        <w:t>1</w:t>
      </w:r>
      <w:r w:rsidRPr="001B0139">
        <w:rPr>
          <w:rFonts w:ascii="Times New Roman" w:hAnsi="Times New Roman" w:cs="Times New Roman"/>
          <w:sz w:val="24"/>
          <w:szCs w:val="24"/>
        </w:rPr>
        <w:t xml:space="preserve"> ust. </w:t>
      </w:r>
      <w:r w:rsidR="00AF71FF" w:rsidRPr="001B0139">
        <w:rPr>
          <w:rFonts w:ascii="Times New Roman" w:hAnsi="Times New Roman" w:cs="Times New Roman"/>
          <w:sz w:val="24"/>
          <w:szCs w:val="24"/>
        </w:rPr>
        <w:t xml:space="preserve">2 pkt </w:t>
      </w:r>
      <w:r w:rsidRPr="001B0139">
        <w:rPr>
          <w:rFonts w:ascii="Times New Roman" w:hAnsi="Times New Roman" w:cs="Times New Roman"/>
          <w:sz w:val="24"/>
          <w:szCs w:val="24"/>
        </w:rPr>
        <w:t>9 w</w:t>
      </w:r>
      <w:r w:rsidR="00AF71FF" w:rsidRPr="001B0139">
        <w:rPr>
          <w:rFonts w:ascii="Times New Roman" w:hAnsi="Times New Roman" w:cs="Times New Roman"/>
          <w:sz w:val="24"/>
          <w:szCs w:val="24"/>
        </w:rPr>
        <w:t> </w:t>
      </w:r>
      <w:r w:rsidRPr="001B0139">
        <w:rPr>
          <w:rFonts w:ascii="Times New Roman" w:hAnsi="Times New Roman" w:cs="Times New Roman"/>
          <w:sz w:val="24"/>
          <w:szCs w:val="24"/>
        </w:rPr>
        <w:t xml:space="preserve">kontekście zmian dotyczących przetwarzania danych biometrycznych. Projekt dostosowuje również katalog zadań Straży Granicznej w </w:t>
      </w:r>
      <w:r w:rsidR="00E028E0" w:rsidRPr="001B0139">
        <w:rPr>
          <w:rFonts w:ascii="Times New Roman" w:hAnsi="Times New Roman" w:cs="Times New Roman"/>
          <w:sz w:val="24"/>
          <w:szCs w:val="24"/>
        </w:rPr>
        <w:t xml:space="preserve">związku z wykonywaniem </w:t>
      </w:r>
      <w:r w:rsidRPr="001B0139">
        <w:rPr>
          <w:rFonts w:ascii="Times New Roman" w:hAnsi="Times New Roman" w:cs="Times New Roman"/>
          <w:sz w:val="24"/>
          <w:szCs w:val="24"/>
        </w:rPr>
        <w:t>zadań Krajowej Jednostki ds. EES i COT KSI EES oraz przetwarzan</w:t>
      </w:r>
      <w:r w:rsidR="00E028E0" w:rsidRPr="001B0139">
        <w:rPr>
          <w:rFonts w:ascii="Times New Roman" w:hAnsi="Times New Roman" w:cs="Times New Roman"/>
          <w:sz w:val="24"/>
          <w:szCs w:val="24"/>
        </w:rPr>
        <w:t>ia</w:t>
      </w:r>
      <w:r w:rsidRPr="001B0139">
        <w:rPr>
          <w:rFonts w:ascii="Times New Roman" w:hAnsi="Times New Roman" w:cs="Times New Roman"/>
          <w:sz w:val="24"/>
          <w:szCs w:val="24"/>
        </w:rPr>
        <w:t xml:space="preserve"> danych biometrycznych. </w:t>
      </w:r>
    </w:p>
    <w:p w:rsidR="00AF71FF" w:rsidRPr="001B0139" w:rsidRDefault="00AF71FF" w:rsidP="00AF71FF">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Projektowane przepisy są zasadne zarówno z punktu widzenia EES, prawa krajowego, a także przyszłych projektów dotyczących wielkoskalowych systemów informacyjnych UE.</w:t>
      </w:r>
    </w:p>
    <w:p w:rsidR="00AF71FF" w:rsidRPr="001B0139" w:rsidRDefault="00AF71FF" w:rsidP="00AF71FF">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Komisja Europejska stoi na stanowisku, ze wszystkie Państwa Członkowskie powinny w tym zakresie posiadać jasne i klarowne prawo krajowe, które reguluje zarówno zakres (biometria), jak i czas przechowywania (i jest to tylko i wyłącznie właściwość krajowa</w:t>
      </w:r>
      <w:r w:rsidR="00437814">
        <w:rPr>
          <w:rFonts w:ascii="Times New Roman" w:hAnsi="Times New Roman" w:cs="Times New Roman"/>
          <w:sz w:val="24"/>
          <w:szCs w:val="24"/>
        </w:rPr>
        <w:t>).</w:t>
      </w:r>
      <w:r w:rsidRPr="001B0139">
        <w:rPr>
          <w:rFonts w:ascii="Times New Roman" w:hAnsi="Times New Roman" w:cs="Times New Roman"/>
          <w:sz w:val="24"/>
          <w:szCs w:val="24"/>
        </w:rPr>
        <w:t xml:space="preserve"> </w:t>
      </w:r>
    </w:p>
    <w:p w:rsidR="00AF71FF" w:rsidRPr="001B0139" w:rsidRDefault="002E2D3B" w:rsidP="00562747">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Ponadto </w:t>
      </w:r>
      <w:r w:rsidR="00E028E0" w:rsidRPr="001B0139">
        <w:rPr>
          <w:rFonts w:ascii="Times New Roman" w:hAnsi="Times New Roman" w:cs="Times New Roman"/>
          <w:sz w:val="24"/>
          <w:szCs w:val="24"/>
        </w:rPr>
        <w:t xml:space="preserve">w </w:t>
      </w:r>
      <w:r w:rsidR="001B0139">
        <w:rPr>
          <w:rFonts w:ascii="Times New Roman" w:hAnsi="Times New Roman" w:cs="Times New Roman"/>
          <w:sz w:val="24"/>
          <w:szCs w:val="24"/>
        </w:rPr>
        <w:t xml:space="preserve">projektowanej </w:t>
      </w:r>
      <w:r w:rsidR="00E028E0" w:rsidRPr="001B0139">
        <w:rPr>
          <w:rFonts w:ascii="Times New Roman" w:hAnsi="Times New Roman" w:cs="Times New Roman"/>
          <w:sz w:val="24"/>
          <w:szCs w:val="24"/>
        </w:rPr>
        <w:t xml:space="preserve">ustawie </w:t>
      </w:r>
      <w:r w:rsidR="00643ACD" w:rsidRPr="001B0139">
        <w:rPr>
          <w:rFonts w:ascii="Times New Roman" w:hAnsi="Times New Roman" w:cs="Times New Roman"/>
          <w:sz w:val="24"/>
          <w:szCs w:val="24"/>
        </w:rPr>
        <w:t>zdefiniowa</w:t>
      </w:r>
      <w:r w:rsidR="00AF71FF" w:rsidRPr="001B0139">
        <w:rPr>
          <w:rFonts w:ascii="Times New Roman" w:hAnsi="Times New Roman" w:cs="Times New Roman"/>
          <w:sz w:val="24"/>
          <w:szCs w:val="24"/>
        </w:rPr>
        <w:t>no</w:t>
      </w:r>
      <w:r w:rsidR="00643ACD" w:rsidRPr="001B0139">
        <w:rPr>
          <w:rFonts w:ascii="Times New Roman" w:hAnsi="Times New Roman" w:cs="Times New Roman"/>
          <w:sz w:val="24"/>
          <w:szCs w:val="24"/>
        </w:rPr>
        <w:t xml:space="preserve"> CSI SG (Centralny System Teleinformatyczny SG), w oparciu o który funkcjonariusze SG wykonują zadania służbowe</w:t>
      </w:r>
      <w:r w:rsidR="00E028E0" w:rsidRPr="001B0139">
        <w:rPr>
          <w:rFonts w:ascii="Times New Roman" w:hAnsi="Times New Roman" w:cs="Times New Roman"/>
          <w:sz w:val="24"/>
          <w:szCs w:val="24"/>
        </w:rPr>
        <w:t xml:space="preserve"> oraz </w:t>
      </w:r>
      <w:r w:rsidR="00643ACD" w:rsidRPr="001B0139">
        <w:rPr>
          <w:rFonts w:ascii="Times New Roman" w:hAnsi="Times New Roman" w:cs="Times New Roman"/>
          <w:sz w:val="24"/>
          <w:szCs w:val="24"/>
        </w:rPr>
        <w:t>doprecyzowa</w:t>
      </w:r>
      <w:r w:rsidR="00562747">
        <w:rPr>
          <w:rFonts w:ascii="Times New Roman" w:hAnsi="Times New Roman" w:cs="Times New Roman"/>
          <w:sz w:val="24"/>
          <w:szCs w:val="24"/>
        </w:rPr>
        <w:t>no</w:t>
      </w:r>
      <w:r w:rsidR="00643ACD" w:rsidRPr="001B0139">
        <w:rPr>
          <w:rFonts w:ascii="Times New Roman" w:hAnsi="Times New Roman" w:cs="Times New Roman"/>
          <w:sz w:val="24"/>
          <w:szCs w:val="24"/>
        </w:rPr>
        <w:t xml:space="preserve"> termin</w:t>
      </w:r>
      <w:r w:rsidR="00E028E0" w:rsidRPr="001B0139">
        <w:rPr>
          <w:rFonts w:ascii="Times New Roman" w:hAnsi="Times New Roman" w:cs="Times New Roman"/>
          <w:sz w:val="24"/>
          <w:szCs w:val="24"/>
        </w:rPr>
        <w:t>y</w:t>
      </w:r>
      <w:r w:rsidR="00643ACD" w:rsidRPr="001B0139">
        <w:rPr>
          <w:rFonts w:ascii="Times New Roman" w:hAnsi="Times New Roman" w:cs="Times New Roman"/>
          <w:sz w:val="24"/>
          <w:szCs w:val="24"/>
        </w:rPr>
        <w:t xml:space="preserve"> prz</w:t>
      </w:r>
      <w:r w:rsidR="00E028E0" w:rsidRPr="001B0139">
        <w:rPr>
          <w:rFonts w:ascii="Times New Roman" w:hAnsi="Times New Roman" w:cs="Times New Roman"/>
          <w:sz w:val="24"/>
          <w:szCs w:val="24"/>
        </w:rPr>
        <w:t xml:space="preserve">echowywania danych osobowych. </w:t>
      </w:r>
      <w:r w:rsidR="00AF71FF" w:rsidRPr="001B0139">
        <w:rPr>
          <w:rFonts w:ascii="Times New Roman" w:hAnsi="Times New Roman" w:cs="Times New Roman"/>
          <w:sz w:val="24"/>
          <w:szCs w:val="24"/>
        </w:rPr>
        <w:t xml:space="preserve">CSI SG </w:t>
      </w:r>
      <w:r w:rsidR="00562747">
        <w:rPr>
          <w:rFonts w:ascii="Times New Roman" w:hAnsi="Times New Roman" w:cs="Times New Roman"/>
          <w:sz w:val="24"/>
          <w:szCs w:val="24"/>
        </w:rPr>
        <w:t xml:space="preserve">obecnie </w:t>
      </w:r>
      <w:r w:rsidR="00AF71FF" w:rsidRPr="001B0139">
        <w:rPr>
          <w:rFonts w:ascii="Times New Roman" w:hAnsi="Times New Roman" w:cs="Times New Roman"/>
          <w:sz w:val="24"/>
          <w:szCs w:val="24"/>
        </w:rPr>
        <w:t xml:space="preserve"> </w:t>
      </w:r>
      <w:r w:rsidR="00562747">
        <w:rPr>
          <w:rFonts w:ascii="Times New Roman" w:hAnsi="Times New Roman" w:cs="Times New Roman"/>
          <w:sz w:val="24"/>
          <w:szCs w:val="24"/>
        </w:rPr>
        <w:t xml:space="preserve">funkcjonuje, </w:t>
      </w:r>
      <w:r w:rsidR="00AF71FF" w:rsidRPr="001B0139">
        <w:rPr>
          <w:rFonts w:ascii="Times New Roman" w:hAnsi="Times New Roman" w:cs="Times New Roman"/>
          <w:sz w:val="24"/>
          <w:szCs w:val="24"/>
        </w:rPr>
        <w:t xml:space="preserve">jest utrzymywany i podlega ciągłej rozbudowie (jest to proces, co oznacza, że system będzie ewoluował wraz z potrzebami krajowymi i unijnymi, </w:t>
      </w:r>
      <w:r w:rsidR="00562747">
        <w:rPr>
          <w:rFonts w:ascii="Times New Roman" w:hAnsi="Times New Roman" w:cs="Times New Roman"/>
          <w:sz w:val="24"/>
          <w:szCs w:val="24"/>
        </w:rPr>
        <w:t xml:space="preserve">tak jak </w:t>
      </w:r>
      <w:r w:rsidR="00AF71FF" w:rsidRPr="001B0139">
        <w:rPr>
          <w:rFonts w:ascii="Times New Roman" w:hAnsi="Times New Roman" w:cs="Times New Roman"/>
          <w:sz w:val="24"/>
          <w:szCs w:val="24"/>
        </w:rPr>
        <w:t>np. Krajowy Rejestr Cudzoziemców</w:t>
      </w:r>
      <w:r w:rsidR="00562747">
        <w:rPr>
          <w:rFonts w:ascii="Times New Roman" w:hAnsi="Times New Roman" w:cs="Times New Roman"/>
          <w:sz w:val="24"/>
          <w:szCs w:val="24"/>
        </w:rPr>
        <w:t>, który powstał jako system krajowy, a jest utrzymywany, rozbudowywany</w:t>
      </w:r>
      <w:r w:rsidR="00AF71FF" w:rsidRPr="001B0139">
        <w:rPr>
          <w:rFonts w:ascii="Times New Roman" w:hAnsi="Times New Roman" w:cs="Times New Roman"/>
          <w:sz w:val="24"/>
          <w:szCs w:val="24"/>
        </w:rPr>
        <w:t xml:space="preserve"> </w:t>
      </w:r>
      <w:r w:rsidR="00562747">
        <w:rPr>
          <w:rFonts w:ascii="Times New Roman" w:hAnsi="Times New Roman" w:cs="Times New Roman"/>
          <w:sz w:val="24"/>
          <w:szCs w:val="24"/>
        </w:rPr>
        <w:br/>
      </w:r>
      <w:r w:rsidR="00AF71FF" w:rsidRPr="001B0139">
        <w:rPr>
          <w:rFonts w:ascii="Times New Roman" w:hAnsi="Times New Roman" w:cs="Times New Roman"/>
          <w:sz w:val="24"/>
          <w:szCs w:val="24"/>
        </w:rPr>
        <w:lastRenderedPageBreak/>
        <w:t>i modyfik</w:t>
      </w:r>
      <w:r w:rsidR="00562747">
        <w:rPr>
          <w:rFonts w:ascii="Times New Roman" w:hAnsi="Times New Roman" w:cs="Times New Roman"/>
          <w:sz w:val="24"/>
          <w:szCs w:val="24"/>
        </w:rPr>
        <w:t>owany</w:t>
      </w:r>
      <w:r w:rsidR="00AF71FF" w:rsidRPr="001B0139">
        <w:rPr>
          <w:rFonts w:ascii="Times New Roman" w:hAnsi="Times New Roman" w:cs="Times New Roman"/>
          <w:sz w:val="24"/>
          <w:szCs w:val="24"/>
        </w:rPr>
        <w:t xml:space="preserve"> </w:t>
      </w:r>
      <w:r w:rsidR="00562747">
        <w:rPr>
          <w:rFonts w:ascii="Times New Roman" w:hAnsi="Times New Roman" w:cs="Times New Roman"/>
          <w:sz w:val="24"/>
          <w:szCs w:val="24"/>
        </w:rPr>
        <w:t xml:space="preserve">również </w:t>
      </w:r>
      <w:r w:rsidR="00AF71FF" w:rsidRPr="001B0139">
        <w:rPr>
          <w:rFonts w:ascii="Times New Roman" w:hAnsi="Times New Roman" w:cs="Times New Roman"/>
          <w:sz w:val="24"/>
          <w:szCs w:val="24"/>
        </w:rPr>
        <w:t>na potrzeby wielkoskalowych systemów UE). Administratorem CSI SG jest Komendant Główny Straży</w:t>
      </w:r>
      <w:r w:rsidR="007C77BA">
        <w:rPr>
          <w:rFonts w:ascii="Times New Roman" w:hAnsi="Times New Roman" w:cs="Times New Roman"/>
          <w:sz w:val="24"/>
          <w:szCs w:val="24"/>
        </w:rPr>
        <w:t> </w:t>
      </w:r>
      <w:r w:rsidR="00AF71FF" w:rsidRPr="001B0139">
        <w:rPr>
          <w:rFonts w:ascii="Times New Roman" w:hAnsi="Times New Roman" w:cs="Times New Roman"/>
          <w:sz w:val="24"/>
          <w:szCs w:val="24"/>
        </w:rPr>
        <w:t>Granicznej.</w:t>
      </w:r>
      <w:r w:rsidR="00562747">
        <w:rPr>
          <w:rFonts w:ascii="Times New Roman" w:hAnsi="Times New Roman" w:cs="Times New Roman"/>
          <w:sz w:val="24"/>
          <w:szCs w:val="24"/>
        </w:rPr>
        <w:t xml:space="preserve"> Obecnie zasadne jest stworzenie jednoznacznych, precyzyjnych regulacji ustawowych we wskazanym zakresie</w:t>
      </w:r>
      <w:r w:rsidR="00AF71FF" w:rsidRPr="001B0139">
        <w:rPr>
          <w:rFonts w:ascii="Times New Roman" w:hAnsi="Times New Roman" w:cs="Times New Roman"/>
          <w:sz w:val="24"/>
          <w:szCs w:val="24"/>
        </w:rPr>
        <w:t>.</w:t>
      </w:r>
    </w:p>
    <w:p w:rsidR="00AF71FF" w:rsidRDefault="00AF71FF" w:rsidP="00AF71FF">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Projekt przewiduje również zmianę brzmienia art. 10a ustawy o Straży Granicznej, poprzez dodanie </w:t>
      </w:r>
      <w:r w:rsidR="00D02B99">
        <w:rPr>
          <w:rFonts w:ascii="Times New Roman" w:hAnsi="Times New Roman" w:cs="Times New Roman"/>
          <w:sz w:val="24"/>
          <w:szCs w:val="24"/>
        </w:rPr>
        <w:t xml:space="preserve">do tego artykułu </w:t>
      </w:r>
      <w:r w:rsidRPr="001B0139">
        <w:rPr>
          <w:rFonts w:ascii="Times New Roman" w:hAnsi="Times New Roman" w:cs="Times New Roman"/>
          <w:sz w:val="24"/>
          <w:szCs w:val="24"/>
        </w:rPr>
        <w:t>ust. 4a i 15a, w który</w:t>
      </w:r>
      <w:r w:rsidR="00437814">
        <w:rPr>
          <w:rFonts w:ascii="Times New Roman" w:hAnsi="Times New Roman" w:cs="Times New Roman"/>
          <w:sz w:val="24"/>
          <w:szCs w:val="24"/>
        </w:rPr>
        <w:t>ch</w:t>
      </w:r>
      <w:r w:rsidRPr="001B0139">
        <w:rPr>
          <w:rFonts w:ascii="Times New Roman" w:hAnsi="Times New Roman" w:cs="Times New Roman"/>
          <w:sz w:val="24"/>
          <w:szCs w:val="24"/>
        </w:rPr>
        <w:t xml:space="preserve"> określono zasady udostępniania danych biometrycznych. </w:t>
      </w:r>
      <w:r w:rsidR="00437814" w:rsidRPr="001B0139">
        <w:rPr>
          <w:rFonts w:ascii="Times New Roman" w:hAnsi="Times New Roman" w:cs="Times New Roman"/>
          <w:sz w:val="24"/>
          <w:szCs w:val="24"/>
        </w:rPr>
        <w:t>Wskaz</w:t>
      </w:r>
      <w:r w:rsidR="00437814">
        <w:rPr>
          <w:rFonts w:ascii="Times New Roman" w:hAnsi="Times New Roman" w:cs="Times New Roman"/>
          <w:sz w:val="24"/>
          <w:szCs w:val="24"/>
        </w:rPr>
        <w:t>ano</w:t>
      </w:r>
      <w:r w:rsidR="00437814" w:rsidRPr="001B0139">
        <w:rPr>
          <w:rFonts w:ascii="Times New Roman" w:hAnsi="Times New Roman" w:cs="Times New Roman"/>
          <w:sz w:val="24"/>
          <w:szCs w:val="24"/>
        </w:rPr>
        <w:t xml:space="preserve"> </w:t>
      </w:r>
      <w:r w:rsidRPr="001B0139">
        <w:rPr>
          <w:rFonts w:ascii="Times New Roman" w:hAnsi="Times New Roman" w:cs="Times New Roman"/>
          <w:sz w:val="24"/>
          <w:szCs w:val="24"/>
        </w:rPr>
        <w:t xml:space="preserve">podmioty, którym udostępnia się dane biometryczne </w:t>
      </w:r>
      <w:r w:rsidR="00437814">
        <w:rPr>
          <w:rFonts w:ascii="Times New Roman" w:hAnsi="Times New Roman" w:cs="Times New Roman"/>
          <w:sz w:val="24"/>
          <w:szCs w:val="24"/>
        </w:rPr>
        <w:t xml:space="preserve">oraz </w:t>
      </w:r>
      <w:r w:rsidRPr="001B0139">
        <w:rPr>
          <w:rFonts w:ascii="Times New Roman" w:hAnsi="Times New Roman" w:cs="Times New Roman"/>
          <w:sz w:val="24"/>
          <w:szCs w:val="24"/>
        </w:rPr>
        <w:t>dodatkowe warunki</w:t>
      </w:r>
      <w:r w:rsidR="00437814">
        <w:rPr>
          <w:rFonts w:ascii="Times New Roman" w:hAnsi="Times New Roman" w:cs="Times New Roman"/>
          <w:sz w:val="24"/>
          <w:szCs w:val="24"/>
        </w:rPr>
        <w:t>, jakie muszą spełniać</w:t>
      </w:r>
      <w:r w:rsidR="00D02B99">
        <w:rPr>
          <w:rFonts w:ascii="Times New Roman" w:hAnsi="Times New Roman" w:cs="Times New Roman"/>
          <w:sz w:val="24"/>
          <w:szCs w:val="24"/>
        </w:rPr>
        <w:t xml:space="preserve"> m. in poprzez odwołanie się do </w:t>
      </w:r>
      <w:r w:rsidR="00D02B99" w:rsidRPr="00D02B99">
        <w:rPr>
          <w:rFonts w:ascii="Times New Roman" w:hAnsi="Times New Roman" w:cs="Times New Roman"/>
          <w:sz w:val="24"/>
          <w:szCs w:val="24"/>
        </w:rPr>
        <w:t xml:space="preserve"> ust. 9</w:t>
      </w:r>
      <w:r w:rsidR="00D02B99">
        <w:rPr>
          <w:rFonts w:ascii="Times New Roman" w:hAnsi="Times New Roman" w:cs="Times New Roman"/>
          <w:sz w:val="24"/>
          <w:szCs w:val="24"/>
        </w:rPr>
        <w:t xml:space="preserve"> w art. 10a, mając na względzie za</w:t>
      </w:r>
      <w:r w:rsidR="00437814">
        <w:rPr>
          <w:rFonts w:ascii="Times New Roman" w:hAnsi="Times New Roman" w:cs="Times New Roman"/>
          <w:sz w:val="24"/>
          <w:szCs w:val="24"/>
        </w:rPr>
        <w:t>pewnienie</w:t>
      </w:r>
      <w:r w:rsidR="00D02B99">
        <w:rPr>
          <w:rFonts w:ascii="Times New Roman" w:hAnsi="Times New Roman" w:cs="Times New Roman"/>
          <w:sz w:val="24"/>
          <w:szCs w:val="24"/>
        </w:rPr>
        <w:t xml:space="preserve"> </w:t>
      </w:r>
      <w:r w:rsidRPr="001B0139">
        <w:rPr>
          <w:rFonts w:ascii="Times New Roman" w:hAnsi="Times New Roman" w:cs="Times New Roman"/>
          <w:sz w:val="24"/>
          <w:szCs w:val="24"/>
        </w:rPr>
        <w:t>rozliczalnoś</w:t>
      </w:r>
      <w:r w:rsidR="007C77BA">
        <w:rPr>
          <w:rFonts w:ascii="Times New Roman" w:hAnsi="Times New Roman" w:cs="Times New Roman"/>
          <w:sz w:val="24"/>
          <w:szCs w:val="24"/>
        </w:rPr>
        <w:t>ci, zabezpieczeń technicznych i </w:t>
      </w:r>
      <w:r w:rsidRPr="001B0139">
        <w:rPr>
          <w:rFonts w:ascii="Times New Roman" w:hAnsi="Times New Roman" w:cs="Times New Roman"/>
          <w:sz w:val="24"/>
          <w:szCs w:val="24"/>
        </w:rPr>
        <w:t>organizacyjnych. Jest to uzasadnione specyfiką wykonywanych zadań przez podmiot.</w:t>
      </w:r>
    </w:p>
    <w:p w:rsidR="001108CA" w:rsidRPr="001B0139" w:rsidRDefault="001108CA" w:rsidP="001108CA">
      <w:pPr>
        <w:widowControl/>
        <w:autoSpaceDE/>
        <w:autoSpaceDN/>
        <w:adjustRightInd/>
        <w:spacing w:line="360" w:lineRule="auto"/>
        <w:ind w:firstLine="708"/>
        <w:jc w:val="both"/>
        <w:rPr>
          <w:rFonts w:ascii="Times New Roman" w:hAnsi="Times New Roman" w:cs="Times New Roman"/>
          <w:sz w:val="24"/>
          <w:szCs w:val="24"/>
        </w:rPr>
      </w:pPr>
      <w:bookmarkStart w:id="1" w:name="_Hlk161059115"/>
      <w:r w:rsidRPr="001B0139">
        <w:rPr>
          <w:rFonts w:ascii="Times New Roman" w:hAnsi="Times New Roman" w:cs="Times New Roman"/>
          <w:sz w:val="24"/>
          <w:szCs w:val="24"/>
        </w:rPr>
        <w:t xml:space="preserve">Projektowana ustawa zakłada zmiany w ustawie z dnia 13 czerwca 2003 r. </w:t>
      </w:r>
      <w:r w:rsidRPr="001B0139">
        <w:rPr>
          <w:rFonts w:ascii="Times New Roman" w:hAnsi="Times New Roman" w:cs="Times New Roman"/>
          <w:bCs/>
          <w:sz w:val="24"/>
          <w:szCs w:val="24"/>
        </w:rPr>
        <w:t>o udzielaniu cudzoziemcom ochrony na terytorium Rzeczypospolitej Polskiej</w:t>
      </w:r>
      <w:r w:rsidRPr="001B0139">
        <w:rPr>
          <w:rFonts w:ascii="Times New Roman" w:hAnsi="Times New Roman" w:cs="Times New Roman"/>
          <w:sz w:val="24"/>
          <w:szCs w:val="24"/>
        </w:rPr>
        <w:t>, ustawie z dnia 14 lipca 2006 r. o wjeździe na terytorium Rzeczypospolitej Polskiej, pobycie ora</w:t>
      </w:r>
      <w:r w:rsidR="007C77BA">
        <w:rPr>
          <w:rFonts w:ascii="Times New Roman" w:hAnsi="Times New Roman" w:cs="Times New Roman"/>
          <w:sz w:val="24"/>
          <w:szCs w:val="24"/>
        </w:rPr>
        <w:t>z wyjeździe z </w:t>
      </w:r>
      <w:r w:rsidRPr="001B0139">
        <w:rPr>
          <w:rFonts w:ascii="Times New Roman" w:hAnsi="Times New Roman" w:cs="Times New Roman"/>
          <w:sz w:val="24"/>
          <w:szCs w:val="24"/>
        </w:rPr>
        <w:t>tego terytorium obywateli państw członkowskich Unii Europejskiej i członków ich rodzin oraz ustawie z dnia 12 grudnia 2013 r. o cudzoziemcach. Polegają one na wprowadzeniu do tych ustaw przepisów przewidujących obowiązki organów imigrac</w:t>
      </w:r>
      <w:r w:rsidR="00F53A9B" w:rsidRPr="001B0139">
        <w:rPr>
          <w:rFonts w:ascii="Times New Roman" w:hAnsi="Times New Roman" w:cs="Times New Roman"/>
          <w:sz w:val="24"/>
          <w:szCs w:val="24"/>
        </w:rPr>
        <w:t>yjnych i wizowych polegające na </w:t>
      </w:r>
      <w:r w:rsidRPr="001B0139">
        <w:rPr>
          <w:rFonts w:ascii="Times New Roman" w:hAnsi="Times New Roman" w:cs="Times New Roman"/>
          <w:sz w:val="24"/>
          <w:szCs w:val="24"/>
        </w:rPr>
        <w:t xml:space="preserve">usuwaniu lub dodawaniu danych dotyczących obywateli krajów trzecich w </w:t>
      </w:r>
      <w:r w:rsidR="00F53A9B" w:rsidRPr="001B0139">
        <w:rPr>
          <w:rFonts w:ascii="Times New Roman" w:hAnsi="Times New Roman" w:cs="Times New Roman"/>
          <w:sz w:val="24"/>
          <w:szCs w:val="24"/>
        </w:rPr>
        <w:t>Systemie</w:t>
      </w:r>
      <w:r w:rsidRPr="001B0139">
        <w:rPr>
          <w:rFonts w:ascii="Times New Roman" w:hAnsi="Times New Roman" w:cs="Times New Roman"/>
          <w:sz w:val="24"/>
          <w:szCs w:val="24"/>
        </w:rPr>
        <w:t xml:space="preserve">, zgodnie z art. 19 oraz art. 35 ust. 6 rozporządzenia nr 2017/2226. </w:t>
      </w:r>
    </w:p>
    <w:p w:rsidR="001108CA" w:rsidRPr="001B0139" w:rsidRDefault="001108CA" w:rsidP="00F53A9B">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Nowelizacja ustaw</w:t>
      </w:r>
      <w:r w:rsidR="00F53A9B" w:rsidRPr="001B0139">
        <w:rPr>
          <w:rFonts w:ascii="Times New Roman" w:hAnsi="Times New Roman" w:cs="Times New Roman"/>
          <w:sz w:val="24"/>
          <w:szCs w:val="24"/>
        </w:rPr>
        <w:t xml:space="preserve">y </w:t>
      </w:r>
      <w:r w:rsidRPr="001B0139">
        <w:rPr>
          <w:rFonts w:ascii="Times New Roman" w:hAnsi="Times New Roman" w:cs="Times New Roman"/>
          <w:sz w:val="24"/>
          <w:szCs w:val="24"/>
        </w:rPr>
        <w:t xml:space="preserve">z dnia 13 czerwca 2003 r. </w:t>
      </w:r>
      <w:r w:rsidRPr="001B0139">
        <w:rPr>
          <w:rFonts w:ascii="Times New Roman" w:hAnsi="Times New Roman" w:cs="Times New Roman"/>
          <w:b/>
          <w:sz w:val="24"/>
          <w:szCs w:val="24"/>
        </w:rPr>
        <w:t>o udzielaniu cudzoziemcom ochrony na terytorium Rzeczypospolitej Polskiej</w:t>
      </w:r>
      <w:r w:rsidRPr="001B0139">
        <w:rPr>
          <w:rFonts w:ascii="Times New Roman" w:hAnsi="Times New Roman" w:cs="Times New Roman"/>
          <w:sz w:val="24"/>
          <w:szCs w:val="24"/>
        </w:rPr>
        <w:t xml:space="preserve"> (Dz. U. z 2023 r. poz. 1504) polega</w:t>
      </w:r>
      <w:r w:rsidR="00F53A9B" w:rsidRPr="001B0139">
        <w:rPr>
          <w:rFonts w:ascii="Times New Roman" w:hAnsi="Times New Roman" w:cs="Times New Roman"/>
          <w:sz w:val="24"/>
          <w:szCs w:val="24"/>
        </w:rPr>
        <w:t xml:space="preserve"> na dodaniu art. </w:t>
      </w:r>
      <w:r w:rsidRPr="001B0139">
        <w:rPr>
          <w:rFonts w:ascii="Times New Roman" w:hAnsi="Times New Roman" w:cs="Times New Roman"/>
          <w:sz w:val="24"/>
          <w:szCs w:val="24"/>
        </w:rPr>
        <w:t>89n ust. 3 oraz art. 110 ust. 8a, przewidujących usuwanie wpisów w EES, zgodnie z art. 35 ust. 6 rozporządzenia nr 2017/2226, w sytuacji uzyskania przez obywatela kraju trzeciego karty pobytu w związku z nadaniem mu statusu uchodźcy lub udzieleniem ochrony uzupełniającej w RP oraz w sytuacji wydania zaświadczenia potwierdzającego korzystanie z ochrony czasowej na podstawie tej ustawy, uprawniająceg</w:t>
      </w:r>
      <w:r w:rsidR="00F53A9B" w:rsidRPr="001B0139">
        <w:rPr>
          <w:rFonts w:ascii="Times New Roman" w:hAnsi="Times New Roman" w:cs="Times New Roman"/>
          <w:sz w:val="24"/>
          <w:szCs w:val="24"/>
        </w:rPr>
        <w:t>o wraz z dokumentem podróży, do </w:t>
      </w:r>
      <w:r w:rsidRPr="001B0139">
        <w:rPr>
          <w:rFonts w:ascii="Times New Roman" w:hAnsi="Times New Roman" w:cs="Times New Roman"/>
          <w:sz w:val="24"/>
          <w:szCs w:val="24"/>
        </w:rPr>
        <w:t xml:space="preserve">wielokrotnego przekraczania </w:t>
      </w:r>
      <w:r w:rsidRPr="001B0139">
        <w:rPr>
          <w:rFonts w:ascii="Times New Roman" w:hAnsi="Times New Roman" w:cs="Times New Roman"/>
          <w:sz w:val="24"/>
          <w:szCs w:val="24"/>
        </w:rPr>
        <w:lastRenderedPageBreak/>
        <w:t>granicy bez konieczności uzyskania wizy. Odnośnie proponowanego art. 89n ust. 3 ww. ustawy należy wskazać, iż Szef Urzędu do Spraw Cudzoziemców wydający kartę pobytu obywatelowi kraju trzeciego, któremu nadano w Polsce status uchodźcy lub udzielono ochrony uzupełniającej działa jako organ imigracyjny, a nie jako „organ rozstrzygający” zdefiniowany w art. 2 lit. f dyrektywy Parlamentu Europejskiego i Rady 2013/32/UE dnia 26 czerwca 2013 r. w sprawie wspólnych procedur udzielania i cofania ochrony międzynarodowej (Dz. Urz. UE L 180 z 29.6.2013, str. 60).</w:t>
      </w:r>
    </w:p>
    <w:p w:rsidR="004D6497" w:rsidRPr="001B0139" w:rsidRDefault="004D6497" w:rsidP="001108CA">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Zmiany w ustawie z dnia 14 lipca 2006 r. </w:t>
      </w:r>
      <w:r w:rsidRPr="001B0139">
        <w:rPr>
          <w:rFonts w:ascii="Times New Roman" w:hAnsi="Times New Roman" w:cs="Times New Roman"/>
          <w:b/>
          <w:sz w:val="24"/>
          <w:szCs w:val="24"/>
        </w:rPr>
        <w:t>o wjeździe na terytorium Rzeczypospolitej Polskiej, pobycie oraz wyjeździe z tego terytorium obywateli państw członkowskich Unii Europejskiej i członków ich rodzin</w:t>
      </w:r>
      <w:r w:rsidR="00431047" w:rsidRPr="001B0139">
        <w:rPr>
          <w:rFonts w:ascii="Times New Roman" w:hAnsi="Times New Roman" w:cs="Times New Roman"/>
          <w:b/>
          <w:sz w:val="24"/>
          <w:szCs w:val="24"/>
        </w:rPr>
        <w:t xml:space="preserve"> </w:t>
      </w:r>
      <w:r w:rsidR="00431047" w:rsidRPr="001B0139">
        <w:rPr>
          <w:rFonts w:ascii="Times New Roman" w:hAnsi="Times New Roman" w:cs="Times New Roman"/>
          <w:sz w:val="24"/>
          <w:szCs w:val="24"/>
        </w:rPr>
        <w:t>(Dz. U. z 2024 r. poz. 633)</w:t>
      </w:r>
      <w:r w:rsidRPr="001B0139">
        <w:rPr>
          <w:rFonts w:ascii="Times New Roman" w:hAnsi="Times New Roman" w:cs="Times New Roman"/>
          <w:sz w:val="24"/>
          <w:szCs w:val="24"/>
        </w:rPr>
        <w:t xml:space="preserve">, przewidują usuwanie wpisów w EES, zgodnie z art. 35 ust. 6 rozporządzenia nr 2017/2226, w sytuacji, gdy będący obywatelem kraju trzeciego członek rodziny obywatela UE lub RP uzyska wizę krajową, kartę pobytową lub kartę stałego pobytu albo gdy obywatel Zjednoczonego Królestwa lub członek jego rodziny, będący beneficjentem Umowy Wystąpienia w Polsce, uzyska dokument pobytowy na podstawie tej ustawy. Usuwanie danych tych obywateli krajów trzecich z systemu EES przez właściwe organy w ww. sytuacjach przewiduje się w </w:t>
      </w:r>
      <w:r w:rsidR="00F53A9B" w:rsidRPr="001B0139">
        <w:rPr>
          <w:rFonts w:ascii="Times New Roman" w:hAnsi="Times New Roman" w:cs="Times New Roman"/>
          <w:sz w:val="24"/>
          <w:szCs w:val="24"/>
        </w:rPr>
        <w:t>art. 8c oraz art. 10 ust. 6 tej </w:t>
      </w:r>
      <w:r w:rsidRPr="001B0139">
        <w:rPr>
          <w:rFonts w:ascii="Times New Roman" w:hAnsi="Times New Roman" w:cs="Times New Roman"/>
          <w:sz w:val="24"/>
          <w:szCs w:val="24"/>
        </w:rPr>
        <w:t xml:space="preserve">ustawy. Ponadto, w art. 10e </w:t>
      </w:r>
      <w:r w:rsidR="00F82111">
        <w:rPr>
          <w:rFonts w:ascii="Times New Roman" w:hAnsi="Times New Roman" w:cs="Times New Roman"/>
          <w:sz w:val="24"/>
          <w:szCs w:val="24"/>
        </w:rPr>
        <w:t xml:space="preserve">w </w:t>
      </w:r>
      <w:r w:rsidR="00F53A9B" w:rsidRPr="001B0139">
        <w:rPr>
          <w:rFonts w:ascii="Times New Roman" w:hAnsi="Times New Roman" w:cs="Times New Roman"/>
          <w:sz w:val="24"/>
          <w:szCs w:val="24"/>
        </w:rPr>
        <w:t xml:space="preserve">dodanym </w:t>
      </w:r>
      <w:r w:rsidRPr="001B0139">
        <w:rPr>
          <w:rFonts w:ascii="Times New Roman" w:hAnsi="Times New Roman" w:cs="Times New Roman"/>
          <w:sz w:val="24"/>
          <w:szCs w:val="24"/>
        </w:rPr>
        <w:t>ust. 2 oraz w art. 73 ust. 5 ww. ustawy przewiduje się dodawanie danych w EES do ostatniego wpisu dotyczącego wjazdu/wyjazdu danego obywatela kraju trzeciego zarejestrowanego w EES, będącego członkiem rodziny obywatela UE lub RP albo obywatelem Zjednoczonego Królestwa lub członkiem jego rodziny, będącym beneficjentem Umowy Wystąpienia w Polsce, w przypadku cofnięcia lub unieważnienia okresu dozwolonego pobytu krótkoterminowe</w:t>
      </w:r>
      <w:r w:rsidR="00F53A9B" w:rsidRPr="001B0139">
        <w:rPr>
          <w:rFonts w:ascii="Times New Roman" w:hAnsi="Times New Roman" w:cs="Times New Roman"/>
          <w:sz w:val="24"/>
          <w:szCs w:val="24"/>
        </w:rPr>
        <w:t>go lub wizy Schengen, zgodnie z </w:t>
      </w:r>
      <w:r w:rsidRPr="001B0139">
        <w:rPr>
          <w:rFonts w:ascii="Times New Roman" w:hAnsi="Times New Roman" w:cs="Times New Roman"/>
          <w:sz w:val="24"/>
          <w:szCs w:val="24"/>
        </w:rPr>
        <w:t>art. 19 ust. 1, 3 i 4 rozporządzenia nr</w:t>
      </w:r>
      <w:r w:rsidR="00F53A9B" w:rsidRPr="001B0139">
        <w:rPr>
          <w:rFonts w:ascii="Times New Roman" w:hAnsi="Times New Roman" w:cs="Times New Roman"/>
          <w:sz w:val="24"/>
          <w:szCs w:val="24"/>
        </w:rPr>
        <w:t> </w:t>
      </w:r>
      <w:r w:rsidRPr="001B0139">
        <w:rPr>
          <w:rFonts w:ascii="Times New Roman" w:hAnsi="Times New Roman" w:cs="Times New Roman"/>
          <w:sz w:val="24"/>
          <w:szCs w:val="24"/>
        </w:rPr>
        <w:t>2017/2226, z uwzględnieniem definicji pojęcia cofnięcia lub unieważnienia pobytu krótkoterminowego, o którym mowa w art. 2 pkt 3 projektu.</w:t>
      </w:r>
      <w:r w:rsidR="00F53A9B" w:rsidRPr="001B0139">
        <w:rPr>
          <w:rFonts w:ascii="Times New Roman" w:hAnsi="Times New Roman" w:cs="Times New Roman"/>
          <w:sz w:val="24"/>
          <w:szCs w:val="24"/>
        </w:rPr>
        <w:t xml:space="preserve"> </w:t>
      </w:r>
    </w:p>
    <w:p w:rsidR="005D216E" w:rsidRPr="001B0139" w:rsidRDefault="005D216E" w:rsidP="005D216E">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lastRenderedPageBreak/>
        <w:t xml:space="preserve">Projektowana ustawa wprowadza zmiany dostosowujące w przepisach ustawy z dnia 24 sierpnia 2007 r. </w:t>
      </w:r>
      <w:r w:rsidRPr="001B0139">
        <w:rPr>
          <w:rFonts w:ascii="Times New Roman" w:hAnsi="Times New Roman" w:cs="Times New Roman"/>
          <w:b/>
          <w:sz w:val="24"/>
          <w:szCs w:val="24"/>
        </w:rPr>
        <w:t>o udziale Rzeczypospolitej Polskiej w Systemie Informacyjnym Schengen oraz Wizowym Systemie Informacyjnym</w:t>
      </w:r>
      <w:r w:rsidRPr="001B0139">
        <w:rPr>
          <w:rFonts w:ascii="Times New Roman" w:hAnsi="Times New Roman" w:cs="Times New Roman"/>
          <w:sz w:val="24"/>
          <w:szCs w:val="24"/>
        </w:rPr>
        <w:t xml:space="preserve"> (Dz. U. z 2023 r. poz. 1355),</w:t>
      </w:r>
      <w:r w:rsidRPr="001B0139">
        <w:rPr>
          <w:rFonts w:ascii="Times New Roman" w:hAnsi="Times New Roman" w:cs="Times New Roman"/>
          <w:color w:val="000000" w:themeColor="text1"/>
          <w:sz w:val="24"/>
          <w:szCs w:val="24"/>
        </w:rPr>
        <w:t xml:space="preserve"> </w:t>
      </w:r>
      <w:r w:rsidRPr="001B0139">
        <w:rPr>
          <w:rFonts w:ascii="Times New Roman" w:hAnsi="Times New Roman" w:cs="Times New Roman"/>
          <w:sz w:val="24"/>
          <w:szCs w:val="24"/>
        </w:rPr>
        <w:t>zwan</w:t>
      </w:r>
      <w:r w:rsidR="00437814">
        <w:rPr>
          <w:rFonts w:ascii="Times New Roman" w:hAnsi="Times New Roman" w:cs="Times New Roman"/>
          <w:sz w:val="24"/>
          <w:szCs w:val="24"/>
        </w:rPr>
        <w:t>ej</w:t>
      </w:r>
      <w:r w:rsidRPr="001B0139">
        <w:rPr>
          <w:rFonts w:ascii="Times New Roman" w:hAnsi="Times New Roman" w:cs="Times New Roman"/>
          <w:sz w:val="24"/>
          <w:szCs w:val="24"/>
        </w:rPr>
        <w:t xml:space="preserve"> dalej „ustawą o SIS i VIS”.</w:t>
      </w:r>
    </w:p>
    <w:p w:rsidR="005D216E" w:rsidRPr="001B0139" w:rsidRDefault="005D216E" w:rsidP="005D216E">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Zmiana w art. 2 ustawy o SIS i VIS ma charakter wynikowy i ma na celu dodanie w tej ustawie definicji pojęć „dane EES” i „systemu EES”, używanych w projektowanych art. 7 ust. 3 i art. 7a ustawy o SIS i VIS. W art. 8 rozporządzenia 2017/2226 wskazano na interoperacyjność pomiędzy systemami EES i VIS. Interoperacyjność pomiędzy EES i VIS polega na utworzeniu bezpośredniego kanału komunikacyjnego pomiędzy systemem centralnym VIS i systemem centralnym EES. W wyniku tych rozwiązań Straż Graniczna, która korzysta z EES, będzie mogła:</w:t>
      </w:r>
    </w:p>
    <w:p w:rsidR="005D216E" w:rsidRPr="001B0139" w:rsidRDefault="005D216E" w:rsidP="005D216E">
      <w:pPr>
        <w:pStyle w:val="Akapitzlist"/>
        <w:numPr>
          <w:ilvl w:val="0"/>
          <w:numId w:val="7"/>
        </w:numPr>
        <w:spacing w:line="360" w:lineRule="auto"/>
        <w:jc w:val="both"/>
        <w:rPr>
          <w:rFonts w:ascii="Times New Roman" w:hAnsi="Times New Roman" w:cs="Times New Roman"/>
          <w:sz w:val="24"/>
          <w:szCs w:val="24"/>
        </w:rPr>
      </w:pPr>
      <w:r w:rsidRPr="001B0139">
        <w:rPr>
          <w:rFonts w:ascii="Times New Roman" w:hAnsi="Times New Roman" w:cs="Times New Roman"/>
          <w:sz w:val="24"/>
          <w:szCs w:val="24"/>
        </w:rPr>
        <w:t>przeglądać VIS w celu pobierania danych wizowych na potrzeby tworzenia lub aktualizowania wpisów dotyczących wjazdu/wyjazdu lub wpisów dotyczących odmowy wjazdu;</w:t>
      </w:r>
    </w:p>
    <w:p w:rsidR="005D216E" w:rsidRPr="001B0139" w:rsidRDefault="005D216E" w:rsidP="005D216E">
      <w:pPr>
        <w:pStyle w:val="Akapitzlist"/>
        <w:numPr>
          <w:ilvl w:val="0"/>
          <w:numId w:val="7"/>
        </w:numPr>
        <w:spacing w:line="360" w:lineRule="auto"/>
        <w:jc w:val="both"/>
        <w:rPr>
          <w:rFonts w:ascii="Times New Roman" w:hAnsi="Times New Roman" w:cs="Times New Roman"/>
          <w:sz w:val="24"/>
          <w:szCs w:val="24"/>
        </w:rPr>
      </w:pPr>
      <w:r w:rsidRPr="001B0139">
        <w:rPr>
          <w:rFonts w:ascii="Times New Roman" w:hAnsi="Times New Roman" w:cs="Times New Roman"/>
          <w:sz w:val="24"/>
          <w:szCs w:val="24"/>
        </w:rPr>
        <w:t>weryfikować na granicach, na których działa EES, ważność wizy i tożsamość posiadacza wizy poprzez bezpośrednie porównane jego odcisków palców z danymi przechowywanymi w VIS;</w:t>
      </w:r>
    </w:p>
    <w:p w:rsidR="005D216E" w:rsidRPr="001B0139" w:rsidRDefault="005D216E" w:rsidP="005D216E">
      <w:pPr>
        <w:pStyle w:val="Akapitzlist"/>
        <w:numPr>
          <w:ilvl w:val="0"/>
          <w:numId w:val="7"/>
        </w:numPr>
        <w:spacing w:line="360" w:lineRule="auto"/>
        <w:jc w:val="both"/>
        <w:rPr>
          <w:rFonts w:ascii="Times New Roman" w:hAnsi="Times New Roman" w:cs="Times New Roman"/>
          <w:sz w:val="24"/>
          <w:szCs w:val="24"/>
        </w:rPr>
      </w:pPr>
      <w:r w:rsidRPr="001B0139">
        <w:rPr>
          <w:rFonts w:ascii="Times New Roman" w:hAnsi="Times New Roman" w:cs="Times New Roman"/>
          <w:sz w:val="24"/>
          <w:szCs w:val="24"/>
        </w:rPr>
        <w:t xml:space="preserve">weryfikować tożsamość obywateli państw trzecich zwolnionych z obowiązku wizowego poprzez porównanie ich odcisków palców z danymi przechowywanymi w VIS. </w:t>
      </w:r>
    </w:p>
    <w:p w:rsidR="005D216E" w:rsidRPr="001B0139" w:rsidRDefault="005D216E" w:rsidP="005D216E">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Identyczne uprawnienia zostały określone w art. 17a rozporządzenia 767/2008, który będzie stosowany z dniem wdrożenia EES. </w:t>
      </w:r>
    </w:p>
    <w:p w:rsidR="005D216E" w:rsidRPr="001B0139" w:rsidRDefault="005D216E" w:rsidP="005D216E">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 xml:space="preserve">Interoperacyjność powinna również umożliwić Straży Granicznej i organom wizowym, wskazanym w art. 5 ust. 1 ustawy o SIS i VIS (a więc Straży Granicznej, Szefowi Urzędu do Spraw Cudzoziemców, wojewodom, konsulom i Ministrowi Spraw Zagranicznych), które </w:t>
      </w:r>
      <w:r w:rsidRPr="001B0139">
        <w:rPr>
          <w:rFonts w:ascii="Times New Roman" w:hAnsi="Times New Roman" w:cs="Times New Roman"/>
          <w:sz w:val="24"/>
          <w:szCs w:val="24"/>
        </w:rPr>
        <w:lastRenderedPageBreak/>
        <w:t xml:space="preserve">korzystają z VIS, bezpośrednie przeglądanie EES z poziomu VIS do celów rozpatrywania wniosków wizowych i podejmowania decyzji dotyczących tych wniosków oraz umożliwienia organom wizowym aktualizowania w EES danych wizowych w przypadku unieważnienia, cofnięcia lub przedłużenia wizy. </w:t>
      </w:r>
    </w:p>
    <w:p w:rsidR="005D216E" w:rsidRPr="001B0139" w:rsidRDefault="005D216E" w:rsidP="005D216E">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W związku z projektowanymi przepisami będzie istniała konieczność nowelizacji rozporządzenia ministra właściwego do spraw wewnętrznych, wydawanego na podstawie art. 25 ust. 12 ustawy o SIS i VIS, określającego tryb nadania dostępu do Krajowego Systemu Informatycznego (KSI) oraz tryb cofania tego dostępu, sposób przydzielania osobom uprawnionym osobistych i niepowtarzalnych identyfikatorów użytkownika indywidualnego, jak również sposób prowadzenia ewidencji użytkowników końcowych oraz użytkowników indywidualnych, a także wzór upoważnienia dla użytkownika indywidualnego do dostępu do Krajowego Systemu Informatycznego (KSI) oraz przetwarzania danych poprzez Krajowy System Informatyczny (KSI), przy uwzględnieniu konieczności zapewnienia bezpieczeństwa i ochrony przetwarzania danych poprzez Krajowy System Informatyczny (KSI), a więc rozporządzenia Ministra Spraw Wewnętrznych i Ad</w:t>
      </w:r>
      <w:r w:rsidR="007C77BA">
        <w:rPr>
          <w:rFonts w:ascii="Times New Roman" w:hAnsi="Times New Roman" w:cs="Times New Roman"/>
          <w:sz w:val="24"/>
          <w:szCs w:val="24"/>
        </w:rPr>
        <w:t>ministracji z dnia 3 marca 2023 </w:t>
      </w:r>
      <w:r w:rsidRPr="001B0139">
        <w:rPr>
          <w:rFonts w:ascii="Times New Roman" w:hAnsi="Times New Roman" w:cs="Times New Roman"/>
          <w:sz w:val="24"/>
          <w:szCs w:val="24"/>
        </w:rPr>
        <w:t xml:space="preserve">r. w sprawie dostępu i wzoru upoważnienia do dostępu do Krajowego Systemu Informatycznego (KSI) oraz przetwarzania danych poprzez Krajowy </w:t>
      </w:r>
      <w:r w:rsidR="007C77BA">
        <w:rPr>
          <w:rFonts w:ascii="Times New Roman" w:hAnsi="Times New Roman" w:cs="Times New Roman"/>
          <w:sz w:val="24"/>
          <w:szCs w:val="24"/>
        </w:rPr>
        <w:t>System Informatyczny (KSI) (Dz. U. poz. </w:t>
      </w:r>
      <w:r w:rsidRPr="001B0139">
        <w:rPr>
          <w:rFonts w:ascii="Times New Roman" w:hAnsi="Times New Roman" w:cs="Times New Roman"/>
          <w:sz w:val="24"/>
          <w:szCs w:val="24"/>
        </w:rPr>
        <w:t xml:space="preserve">424). </w:t>
      </w:r>
    </w:p>
    <w:p w:rsidR="0039594C" w:rsidRPr="001B0139" w:rsidRDefault="004D6497" w:rsidP="005D216E">
      <w:pPr>
        <w:widowControl/>
        <w:autoSpaceDE/>
        <w:autoSpaceDN/>
        <w:adjustRightInd/>
        <w:spacing w:line="360" w:lineRule="auto"/>
        <w:ind w:firstLine="708"/>
        <w:jc w:val="both"/>
        <w:rPr>
          <w:rFonts w:ascii="Times New Roman" w:hAnsi="Times New Roman" w:cs="Times New Roman"/>
          <w:sz w:val="24"/>
          <w:szCs w:val="24"/>
        </w:rPr>
      </w:pPr>
      <w:r w:rsidRPr="001B0139">
        <w:rPr>
          <w:rFonts w:ascii="Times New Roman" w:hAnsi="Times New Roman" w:cs="Times New Roman"/>
          <w:sz w:val="24"/>
          <w:szCs w:val="24"/>
        </w:rPr>
        <w:t>W</w:t>
      </w:r>
      <w:r w:rsidR="0039594C" w:rsidRPr="001B0139">
        <w:rPr>
          <w:rFonts w:ascii="Times New Roman" w:hAnsi="Times New Roman" w:cs="Times New Roman"/>
          <w:sz w:val="24"/>
          <w:szCs w:val="24"/>
        </w:rPr>
        <w:t xml:space="preserve"> ustawie z dnia 12 grudnia 2013 r. </w:t>
      </w:r>
      <w:r w:rsidR="0039594C" w:rsidRPr="001B0139">
        <w:rPr>
          <w:rFonts w:ascii="Times New Roman" w:hAnsi="Times New Roman" w:cs="Times New Roman"/>
          <w:b/>
          <w:sz w:val="24"/>
          <w:szCs w:val="24"/>
        </w:rPr>
        <w:t>o cudzoziemcach</w:t>
      </w:r>
      <w:r w:rsidRPr="001B0139">
        <w:rPr>
          <w:rFonts w:ascii="Times New Roman" w:hAnsi="Times New Roman" w:cs="Times New Roman"/>
          <w:sz w:val="24"/>
          <w:szCs w:val="24"/>
        </w:rPr>
        <w:t xml:space="preserve"> </w:t>
      </w:r>
      <w:r w:rsidR="00431047" w:rsidRPr="001B0139">
        <w:rPr>
          <w:rFonts w:ascii="Times New Roman" w:hAnsi="Times New Roman" w:cs="Times New Roman"/>
          <w:sz w:val="24"/>
          <w:szCs w:val="24"/>
        </w:rPr>
        <w:t xml:space="preserve">(Dz. U. z 2024 r. poz. 769) </w:t>
      </w:r>
      <w:r w:rsidRPr="001B0139">
        <w:rPr>
          <w:rFonts w:ascii="Times New Roman" w:hAnsi="Times New Roman" w:cs="Times New Roman"/>
          <w:sz w:val="24"/>
          <w:szCs w:val="24"/>
        </w:rPr>
        <w:t>p</w:t>
      </w:r>
      <w:r w:rsidR="0039594C" w:rsidRPr="001B0139">
        <w:rPr>
          <w:rFonts w:ascii="Times New Roman" w:hAnsi="Times New Roman" w:cs="Times New Roman"/>
          <w:sz w:val="24"/>
          <w:szCs w:val="24"/>
        </w:rPr>
        <w:t xml:space="preserve">roponuje się wprowadzenie w art. 79b, art. 139n ust. 13, art. 149b ust. 16, art. 156b ust. 14, art. 169a ust. 13 oraz w art. 248a przepisów </w:t>
      </w:r>
      <w:bookmarkEnd w:id="1"/>
      <w:r w:rsidR="0039594C" w:rsidRPr="001B0139">
        <w:rPr>
          <w:rFonts w:ascii="Times New Roman" w:hAnsi="Times New Roman" w:cs="Times New Roman"/>
          <w:sz w:val="24"/>
          <w:szCs w:val="24"/>
        </w:rPr>
        <w:t>przewidujących usuwanie przez właściwe organy wpisów danych obywateli krajów trzecich z systemu EES, gdy cudzoziemiec uzyska wizę krajową lub kartę pobytu, albo korzysta z mobilności studenta lub z mobilności krótkoterminowej: pracownika przenoszonego wewnątrz przedsiębiorstwa, naukowca lub członka rodziny naukowca na terytorium Polski, zgodnie z art. 35 ust. 6 rozporządzenia nr</w:t>
      </w:r>
      <w:r w:rsidR="005D216E" w:rsidRPr="001B0139">
        <w:rPr>
          <w:rFonts w:ascii="Times New Roman" w:hAnsi="Times New Roman" w:cs="Times New Roman"/>
          <w:sz w:val="24"/>
          <w:szCs w:val="24"/>
        </w:rPr>
        <w:t> </w:t>
      </w:r>
      <w:r w:rsidR="0039594C" w:rsidRPr="001B0139">
        <w:rPr>
          <w:rFonts w:ascii="Times New Roman" w:hAnsi="Times New Roman" w:cs="Times New Roman"/>
          <w:sz w:val="24"/>
          <w:szCs w:val="24"/>
        </w:rPr>
        <w:t xml:space="preserve">2017/2226. W art. 89a i art. 300 ust. 7 </w:t>
      </w:r>
      <w:r w:rsidR="0039594C" w:rsidRPr="001B0139">
        <w:rPr>
          <w:rFonts w:ascii="Times New Roman" w:hAnsi="Times New Roman" w:cs="Times New Roman"/>
          <w:sz w:val="24"/>
          <w:szCs w:val="24"/>
        </w:rPr>
        <w:lastRenderedPageBreak/>
        <w:t>ustawy z dnia 12 grudnia 2013 r. o cudzoziemcach przewiduje się dodawanie danych w systemie EES do ostatniego wpisu dotyczącego wjazdu/wyjazdu danego obywatela kraju trzeciego zarejestrowanego w EES, w przypadku przedłużenia okresu dozwolonego pobytu krótkoterminowego lub wizy Schengen, przez organy właściwe w tych sprawach, zgodnie z art. 19 ust. 1, 2, 3 i 5 rozporządzenia nr 2017/2226. Natomiast w art. 96 ust. 3 oraz w art. 323 ust. 3 ust</w:t>
      </w:r>
      <w:r w:rsidR="007C77BA">
        <w:rPr>
          <w:rFonts w:ascii="Times New Roman" w:hAnsi="Times New Roman" w:cs="Times New Roman"/>
          <w:sz w:val="24"/>
          <w:szCs w:val="24"/>
        </w:rPr>
        <w:t>awy z dnia 12 grudnia 2013 </w:t>
      </w:r>
      <w:r w:rsidR="005D216E" w:rsidRPr="001B0139">
        <w:rPr>
          <w:rFonts w:ascii="Times New Roman" w:hAnsi="Times New Roman" w:cs="Times New Roman"/>
          <w:sz w:val="24"/>
          <w:szCs w:val="24"/>
        </w:rPr>
        <w:t>r. o </w:t>
      </w:r>
      <w:r w:rsidR="0039594C" w:rsidRPr="001B0139">
        <w:rPr>
          <w:rFonts w:ascii="Times New Roman" w:hAnsi="Times New Roman" w:cs="Times New Roman"/>
          <w:sz w:val="24"/>
          <w:szCs w:val="24"/>
        </w:rPr>
        <w:t>cudzoziemcach przewiduje się dodawanie danych w EES do ostatniego wpisu dotyczącego wjazdu/wyjazdu danego obywatela kraju trzeciego zarejestrowanego w EES, w przypadku cofnięcia lub unieważnienia okresu dozwolonego pobytu krótkoterminowego lub wizy Schengen, zgodnie z art. 19 ust. 1, 3 i 4 rozporządzenia nr 2017/2226, z uwzględnieniem definicji pojęcia cofnięcia lub unieważnienia pobytu kró</w:t>
      </w:r>
      <w:r w:rsidR="005D216E" w:rsidRPr="001B0139">
        <w:rPr>
          <w:rFonts w:ascii="Times New Roman" w:hAnsi="Times New Roman" w:cs="Times New Roman"/>
          <w:sz w:val="24"/>
          <w:szCs w:val="24"/>
        </w:rPr>
        <w:t>tkoterminowego, o którym mowa w </w:t>
      </w:r>
      <w:r w:rsidR="0039594C" w:rsidRPr="001B0139">
        <w:rPr>
          <w:rFonts w:ascii="Times New Roman" w:hAnsi="Times New Roman" w:cs="Times New Roman"/>
          <w:sz w:val="24"/>
          <w:szCs w:val="24"/>
        </w:rPr>
        <w:t>art. 2 pkt 3 projektu. Z kolei zmiany w art. 300 ust. 2 i 6 ust</w:t>
      </w:r>
      <w:r w:rsidR="005D216E" w:rsidRPr="001B0139">
        <w:rPr>
          <w:rFonts w:ascii="Times New Roman" w:hAnsi="Times New Roman" w:cs="Times New Roman"/>
          <w:sz w:val="24"/>
          <w:szCs w:val="24"/>
        </w:rPr>
        <w:t>awy z dnia 12 grudnia 2013 r. o </w:t>
      </w:r>
      <w:r w:rsidR="0039594C" w:rsidRPr="001B0139">
        <w:rPr>
          <w:rFonts w:ascii="Times New Roman" w:hAnsi="Times New Roman" w:cs="Times New Roman"/>
          <w:sz w:val="24"/>
          <w:szCs w:val="24"/>
        </w:rPr>
        <w:t xml:space="preserve">cudzoziemcach mają na celu uwzględnienie brzmienia art. 20 ust. 2a i 2c Konwencji Wykonawczej z dnia 19 czerwca 1990 r. do Układu </w:t>
      </w:r>
      <w:r w:rsidR="005D216E" w:rsidRPr="001B0139">
        <w:rPr>
          <w:rFonts w:ascii="Times New Roman" w:hAnsi="Times New Roman" w:cs="Times New Roman"/>
          <w:sz w:val="24"/>
          <w:szCs w:val="24"/>
        </w:rPr>
        <w:t>z </w:t>
      </w:r>
      <w:r w:rsidR="0039594C" w:rsidRPr="001B0139">
        <w:rPr>
          <w:rFonts w:ascii="Times New Roman" w:hAnsi="Times New Roman" w:cs="Times New Roman"/>
          <w:sz w:val="24"/>
          <w:szCs w:val="24"/>
        </w:rPr>
        <w:t>Schengen z dnia 14 czerwca 1985 r. między Rządami Państw Unii Gospodarczej Beneluksu, Republiki Federalnej Niemiec oraz Republiki Francuskiej w sprawie stopniowego znoszenia kontr</w:t>
      </w:r>
      <w:r w:rsidR="005D216E" w:rsidRPr="001B0139">
        <w:rPr>
          <w:rFonts w:ascii="Times New Roman" w:hAnsi="Times New Roman" w:cs="Times New Roman"/>
          <w:sz w:val="24"/>
          <w:szCs w:val="24"/>
        </w:rPr>
        <w:t>oli na wspólnych granicach (Dz. </w:t>
      </w:r>
      <w:r w:rsidR="0039594C" w:rsidRPr="001B0139">
        <w:rPr>
          <w:rFonts w:ascii="Times New Roman" w:hAnsi="Times New Roman" w:cs="Times New Roman"/>
          <w:sz w:val="24"/>
          <w:szCs w:val="24"/>
        </w:rPr>
        <w:t xml:space="preserve">Urz. UE L 239 z 22.09.2000, str. 19, z późn. zm. </w:t>
      </w:r>
      <w:r w:rsidR="003850E4" w:rsidRPr="001B0139">
        <w:rPr>
          <w:rFonts w:ascii="Times New Roman" w:hAnsi="Times New Roman" w:cs="Times New Roman"/>
          <w:sz w:val="24"/>
          <w:szCs w:val="24"/>
        </w:rPr>
        <w:t>–</w:t>
      </w:r>
      <w:r w:rsidR="0039594C" w:rsidRPr="001B0139">
        <w:rPr>
          <w:rFonts w:ascii="Times New Roman" w:hAnsi="Times New Roman" w:cs="Times New Roman"/>
          <w:sz w:val="24"/>
          <w:szCs w:val="24"/>
        </w:rPr>
        <w:t xml:space="preserve"> Dz. Urz. UE Polskie wydanie specjalne, rozdz. 19, t. 2, str. 9, z późn. zm.) wprowadzonych na mocy</w:t>
      </w:r>
      <w:r w:rsidR="005D216E" w:rsidRPr="001B0139">
        <w:rPr>
          <w:rFonts w:ascii="Times New Roman" w:hAnsi="Times New Roman" w:cs="Times New Roman"/>
          <w:sz w:val="24"/>
          <w:szCs w:val="24"/>
        </w:rPr>
        <w:t xml:space="preserve"> rozporządzenia nr 2017/2226. W </w:t>
      </w:r>
      <w:r w:rsidR="0039594C" w:rsidRPr="001B0139">
        <w:rPr>
          <w:rFonts w:ascii="Times New Roman" w:hAnsi="Times New Roman" w:cs="Times New Roman"/>
          <w:sz w:val="24"/>
          <w:szCs w:val="24"/>
        </w:rPr>
        <w:t xml:space="preserve">art. 428 ust. 1 pkt 2 lit. p, art. 429, art. 430 i art. 449 ustawy </w:t>
      </w:r>
      <w:r w:rsidR="005D216E" w:rsidRPr="001B0139">
        <w:rPr>
          <w:rFonts w:ascii="Times New Roman" w:hAnsi="Times New Roman" w:cs="Times New Roman"/>
          <w:sz w:val="24"/>
          <w:szCs w:val="24"/>
        </w:rPr>
        <w:t>z </w:t>
      </w:r>
      <w:r w:rsidR="0039594C" w:rsidRPr="001B0139">
        <w:rPr>
          <w:rFonts w:ascii="Times New Roman" w:hAnsi="Times New Roman" w:cs="Times New Roman"/>
          <w:sz w:val="24"/>
          <w:szCs w:val="24"/>
        </w:rPr>
        <w:t>dnia 12 grudnia 2013</w:t>
      </w:r>
      <w:r w:rsidR="007C77BA">
        <w:rPr>
          <w:rFonts w:ascii="Times New Roman" w:hAnsi="Times New Roman" w:cs="Times New Roman"/>
          <w:sz w:val="24"/>
          <w:szCs w:val="24"/>
        </w:rPr>
        <w:t> </w:t>
      </w:r>
      <w:r w:rsidR="005D216E" w:rsidRPr="001B0139">
        <w:rPr>
          <w:rFonts w:ascii="Times New Roman" w:hAnsi="Times New Roman" w:cs="Times New Roman"/>
          <w:sz w:val="24"/>
          <w:szCs w:val="24"/>
        </w:rPr>
        <w:t>r. o </w:t>
      </w:r>
      <w:r w:rsidR="0039594C" w:rsidRPr="001B0139">
        <w:rPr>
          <w:rFonts w:ascii="Times New Roman" w:hAnsi="Times New Roman" w:cs="Times New Roman"/>
          <w:sz w:val="24"/>
          <w:szCs w:val="24"/>
        </w:rPr>
        <w:t>cudzoziemcach przewiduje się regulacje dotyczące reje</w:t>
      </w:r>
      <w:r w:rsidR="005D216E" w:rsidRPr="001B0139">
        <w:rPr>
          <w:rFonts w:ascii="Times New Roman" w:hAnsi="Times New Roman" w:cs="Times New Roman"/>
          <w:sz w:val="24"/>
          <w:szCs w:val="24"/>
        </w:rPr>
        <w:t>stru przedłużeń okresu pobytu w </w:t>
      </w:r>
      <w:r w:rsidR="0039594C" w:rsidRPr="001B0139">
        <w:rPr>
          <w:rFonts w:ascii="Times New Roman" w:hAnsi="Times New Roman" w:cs="Times New Roman"/>
          <w:sz w:val="24"/>
          <w:szCs w:val="24"/>
        </w:rPr>
        <w:t xml:space="preserve">ramach ruchu bezwizowego, o których mowa w art. 300 ustawy </w:t>
      </w:r>
      <w:r w:rsidR="007C77BA">
        <w:rPr>
          <w:rFonts w:ascii="Times New Roman" w:hAnsi="Times New Roman" w:cs="Times New Roman"/>
          <w:sz w:val="24"/>
          <w:szCs w:val="24"/>
        </w:rPr>
        <w:t>z dnia 12 grudnia 2013 </w:t>
      </w:r>
      <w:r w:rsidR="005D216E" w:rsidRPr="001B0139">
        <w:rPr>
          <w:rFonts w:ascii="Times New Roman" w:hAnsi="Times New Roman" w:cs="Times New Roman"/>
          <w:sz w:val="24"/>
          <w:szCs w:val="24"/>
        </w:rPr>
        <w:t>r. o </w:t>
      </w:r>
      <w:r w:rsidR="0039594C" w:rsidRPr="001B0139">
        <w:rPr>
          <w:rFonts w:ascii="Times New Roman" w:hAnsi="Times New Roman" w:cs="Times New Roman"/>
          <w:sz w:val="24"/>
          <w:szCs w:val="24"/>
        </w:rPr>
        <w:t xml:space="preserve">cudzoziemcach, w celu ułatwienia realizacji projektowanego art. 300 ust. 7 tej ustawy. Rejestr ten będzie prowadzony w ramach krajowego zbioru rejestrów, ewidencji i wykazu w sprawach cudzoziemców, prowadzonego w systemie teleinformatycznym. </w:t>
      </w:r>
    </w:p>
    <w:p w:rsidR="00A94BA9" w:rsidRPr="001B0139" w:rsidRDefault="00A94BA9" w:rsidP="00A94BA9">
      <w:pPr>
        <w:spacing w:line="360" w:lineRule="auto"/>
        <w:ind w:firstLine="708"/>
        <w:jc w:val="both"/>
        <w:rPr>
          <w:rFonts w:ascii="Times New Roman" w:hAnsi="Times New Roman" w:cs="Times New Roman"/>
          <w:color w:val="000000" w:themeColor="text1"/>
          <w:sz w:val="24"/>
          <w:szCs w:val="24"/>
        </w:rPr>
      </w:pPr>
      <w:r w:rsidRPr="001B0139">
        <w:rPr>
          <w:rFonts w:ascii="Times New Roman" w:hAnsi="Times New Roman" w:cs="Times New Roman"/>
          <w:color w:val="000000" w:themeColor="text1"/>
          <w:sz w:val="24"/>
          <w:szCs w:val="24"/>
        </w:rPr>
        <w:t xml:space="preserve">W odniesieniu do źródeł finansowania, o których mowa w pkt 6 OSR, należy wskazać, </w:t>
      </w:r>
      <w:r w:rsidRPr="001B0139">
        <w:rPr>
          <w:rFonts w:ascii="Times New Roman" w:hAnsi="Times New Roman" w:cs="Times New Roman"/>
          <w:color w:val="000000" w:themeColor="text1"/>
          <w:sz w:val="24"/>
          <w:szCs w:val="24"/>
        </w:rPr>
        <w:lastRenderedPageBreak/>
        <w:t>że</w:t>
      </w:r>
      <w:r w:rsidR="005D216E"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 xml:space="preserve">Straż Graniczna prowadzi starania o pozyskanie środków z budżetu Unii Europejskiej </w:t>
      </w:r>
      <w:r w:rsidR="005D216E" w:rsidRPr="001B0139">
        <w:rPr>
          <w:rFonts w:ascii="Times New Roman" w:hAnsi="Times New Roman" w:cs="Times New Roman"/>
          <w:color w:val="000000" w:themeColor="text1"/>
          <w:sz w:val="24"/>
          <w:szCs w:val="24"/>
        </w:rPr>
        <w:t>na </w:t>
      </w:r>
      <w:r w:rsidRPr="001B0139">
        <w:rPr>
          <w:rFonts w:ascii="Times New Roman" w:hAnsi="Times New Roman" w:cs="Times New Roman"/>
          <w:color w:val="000000" w:themeColor="text1"/>
          <w:sz w:val="24"/>
          <w:szCs w:val="24"/>
        </w:rPr>
        <w:t xml:space="preserve">realizację wszystkich wyszczególnionych potrzeb. W ramach </w:t>
      </w:r>
      <w:r w:rsidRPr="001B0139">
        <w:rPr>
          <w:rFonts w:ascii="Times New Roman" w:hAnsi="Times New Roman" w:cs="Times New Roman"/>
          <w:i/>
          <w:iCs/>
          <w:color w:val="000000" w:themeColor="text1"/>
          <w:sz w:val="24"/>
          <w:szCs w:val="24"/>
        </w:rPr>
        <w:t>Planu Dostosowania Organów Polskiej Administracji do Współpracy z przebudowanymi Wielkoskalowymi Systemami Informacyjnymi UE – MasterPlan,</w:t>
      </w:r>
      <w:r w:rsidRPr="001B0139">
        <w:rPr>
          <w:rFonts w:ascii="Times New Roman" w:hAnsi="Times New Roman" w:cs="Times New Roman"/>
          <w:color w:val="000000" w:themeColor="text1"/>
          <w:sz w:val="24"/>
          <w:szCs w:val="24"/>
        </w:rPr>
        <w:t xml:space="preserve"> zaplanowany został do realizacji m.</w:t>
      </w:r>
      <w:r w:rsidR="005D216E" w:rsidRPr="001B0139">
        <w:rPr>
          <w:rFonts w:ascii="Times New Roman" w:hAnsi="Times New Roman" w:cs="Times New Roman"/>
          <w:color w:val="000000" w:themeColor="text1"/>
          <w:sz w:val="24"/>
          <w:szCs w:val="24"/>
        </w:rPr>
        <w:t xml:space="preserve"> </w:t>
      </w:r>
      <w:r w:rsidRPr="001B0139">
        <w:rPr>
          <w:rFonts w:ascii="Times New Roman" w:hAnsi="Times New Roman" w:cs="Times New Roman"/>
          <w:color w:val="000000" w:themeColor="text1"/>
          <w:sz w:val="24"/>
          <w:szCs w:val="24"/>
        </w:rPr>
        <w:t>in. projekt pn.</w:t>
      </w:r>
      <w:r w:rsidR="005D216E" w:rsidRPr="001B0139">
        <w:rPr>
          <w:rFonts w:ascii="Times New Roman" w:hAnsi="Times New Roman" w:cs="Times New Roman"/>
          <w:color w:val="000000" w:themeColor="text1"/>
          <w:sz w:val="24"/>
          <w:szCs w:val="24"/>
        </w:rPr>
        <w:t> </w:t>
      </w:r>
      <w:r w:rsidRPr="001B0139">
        <w:rPr>
          <w:rFonts w:ascii="Times New Roman" w:hAnsi="Times New Roman" w:cs="Times New Roman"/>
          <w:color w:val="000000" w:themeColor="text1"/>
          <w:sz w:val="24"/>
          <w:szCs w:val="24"/>
        </w:rPr>
        <w:t xml:space="preserve">Wdrożenie systemu EES. Założenia finansowe do omawianego projektu wielkoskalowego, opracowano w oparciu o realizowane na przestrzeni ostatnich lat w ww. obszarze umowy, przeprowadzone analizy rynku, które uwzględniały jednocześnie ryzyko inflacji i ryzyko walutowe (kurs USD oraz EUR). Jednakże należy mieć na uwadze, iż wskazane skutki finansowe są szacunkowe, w związku z tym dokonanie rozbicia tych skutków na poszczególne rodzaje wydatków może nie być wiążące i ulec zmianie w perspektywie wydłużonego okresu wejścia w życie regulacji. </w:t>
      </w:r>
    </w:p>
    <w:p w:rsidR="00F51CD8" w:rsidRPr="00F51CD8" w:rsidRDefault="00A94BA9" w:rsidP="00F51CD8">
      <w:pPr>
        <w:spacing w:line="360" w:lineRule="auto"/>
        <w:ind w:firstLine="708"/>
        <w:jc w:val="both"/>
        <w:rPr>
          <w:rFonts w:ascii="Times New Roman" w:hAnsi="Times New Roman" w:cs="Times New Roman"/>
          <w:bCs/>
          <w:iCs/>
          <w:color w:val="000000" w:themeColor="text1"/>
          <w:sz w:val="24"/>
          <w:szCs w:val="24"/>
        </w:rPr>
      </w:pPr>
      <w:r w:rsidRPr="001B0139">
        <w:rPr>
          <w:rFonts w:ascii="Times New Roman" w:hAnsi="Times New Roman" w:cs="Times New Roman"/>
          <w:color w:val="000000" w:themeColor="text1"/>
          <w:sz w:val="24"/>
          <w:szCs w:val="24"/>
        </w:rPr>
        <w:t>Jednocześnie z uwagi na fakt, że wejście w życie projektowanej ustawy będzie powodowało skutki finansowe dla sektora finansów publicznych polegające na konieczności zwiększenia limitu wydatków, koniecznym było zamieszczenie w treści normatywnej projektu stosownego przepisu dotyczącego reguły wydatkowej (tj. maksymalnego limitu tych wydatków wyrażonego kwotowo, na okres 10 lat budżetowych wyk</w:t>
      </w:r>
      <w:r w:rsidR="007C77BA">
        <w:rPr>
          <w:rFonts w:ascii="Times New Roman" w:hAnsi="Times New Roman" w:cs="Times New Roman"/>
          <w:color w:val="000000" w:themeColor="text1"/>
          <w:sz w:val="24"/>
          <w:szCs w:val="24"/>
        </w:rPr>
        <w:t>onywania ustawy, oddzielnie dla </w:t>
      </w:r>
      <w:r w:rsidRPr="001B0139">
        <w:rPr>
          <w:rFonts w:ascii="Times New Roman" w:hAnsi="Times New Roman" w:cs="Times New Roman"/>
          <w:color w:val="000000" w:themeColor="text1"/>
          <w:sz w:val="24"/>
          <w:szCs w:val="24"/>
        </w:rPr>
        <w:t xml:space="preserve">każdego roku). </w:t>
      </w:r>
      <w:r w:rsidRPr="001B0139">
        <w:rPr>
          <w:rFonts w:ascii="Times New Roman" w:hAnsi="Times New Roman" w:cs="Times New Roman"/>
          <w:iCs/>
          <w:color w:val="000000" w:themeColor="text1"/>
          <w:sz w:val="24"/>
          <w:szCs w:val="24"/>
        </w:rPr>
        <w:t>Maksymalny limit wydatków budżetu państwa w latach 2025–2034 będących skutkiem finansowym</w:t>
      </w:r>
      <w:r w:rsidR="00652FBF">
        <w:rPr>
          <w:rFonts w:ascii="Times New Roman" w:hAnsi="Times New Roman" w:cs="Times New Roman"/>
          <w:iCs/>
          <w:color w:val="000000" w:themeColor="text1"/>
          <w:sz w:val="24"/>
          <w:szCs w:val="24"/>
        </w:rPr>
        <w:t xml:space="preserve"> projektowanej</w:t>
      </w:r>
      <w:r w:rsidRPr="001B0139">
        <w:rPr>
          <w:rFonts w:ascii="Times New Roman" w:hAnsi="Times New Roman" w:cs="Times New Roman"/>
          <w:iCs/>
          <w:color w:val="000000" w:themeColor="text1"/>
          <w:sz w:val="24"/>
          <w:szCs w:val="24"/>
        </w:rPr>
        <w:t xml:space="preserve"> </w:t>
      </w:r>
      <w:r w:rsidR="00F51CD8" w:rsidRPr="00F51CD8">
        <w:rPr>
          <w:rFonts w:ascii="Times New Roman" w:hAnsi="Times New Roman" w:cs="Times New Roman"/>
          <w:bCs/>
          <w:iCs/>
          <w:color w:val="000000" w:themeColor="text1"/>
          <w:sz w:val="24"/>
          <w:szCs w:val="24"/>
        </w:rPr>
        <w:t xml:space="preserve">ustawy </w:t>
      </w:r>
      <w:r w:rsidR="00F51CD8">
        <w:rPr>
          <w:rFonts w:ascii="Times New Roman" w:hAnsi="Times New Roman" w:cs="Times New Roman"/>
          <w:bCs/>
          <w:iCs/>
          <w:color w:val="000000" w:themeColor="text1"/>
          <w:sz w:val="24"/>
          <w:szCs w:val="24"/>
        </w:rPr>
        <w:t>określono na</w:t>
      </w:r>
      <w:r w:rsidR="00F51CD8" w:rsidRPr="00F51CD8">
        <w:rPr>
          <w:rFonts w:ascii="Times New Roman" w:hAnsi="Times New Roman" w:cs="Times New Roman"/>
          <w:bCs/>
          <w:iCs/>
          <w:color w:val="000000" w:themeColor="text1"/>
          <w:sz w:val="24"/>
          <w:szCs w:val="24"/>
        </w:rPr>
        <w:t xml:space="preserve"> 380,833 mln zł, z czego w:</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w:t>
      </w:r>
      <w:r w:rsidRPr="00F51CD8">
        <w:rPr>
          <w:rFonts w:ascii="Times New Roman" w:hAnsi="Times New Roman" w:cs="Times New Roman"/>
          <w:bCs/>
          <w:iCs/>
          <w:color w:val="000000" w:themeColor="text1"/>
          <w:sz w:val="24"/>
          <w:szCs w:val="24"/>
        </w:rPr>
        <w:tab/>
        <w:t>2025 r. – 76,430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2)</w:t>
      </w:r>
      <w:r w:rsidRPr="00F51CD8">
        <w:rPr>
          <w:rFonts w:ascii="Times New Roman" w:hAnsi="Times New Roman" w:cs="Times New Roman"/>
          <w:bCs/>
          <w:iCs/>
          <w:color w:val="000000" w:themeColor="text1"/>
          <w:sz w:val="24"/>
          <w:szCs w:val="24"/>
        </w:rPr>
        <w:tab/>
        <w:t>2026 r. – 19,274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3)</w:t>
      </w:r>
      <w:r w:rsidRPr="00F51CD8">
        <w:rPr>
          <w:rFonts w:ascii="Times New Roman" w:hAnsi="Times New Roman" w:cs="Times New Roman"/>
          <w:bCs/>
          <w:iCs/>
          <w:color w:val="000000" w:themeColor="text1"/>
          <w:sz w:val="24"/>
          <w:szCs w:val="24"/>
        </w:rPr>
        <w:tab/>
        <w:t>2027 r. – 43,561</w:t>
      </w:r>
      <w:r w:rsidRPr="00F51CD8" w:rsidDel="00281230">
        <w:rPr>
          <w:rFonts w:ascii="Times New Roman" w:hAnsi="Times New Roman" w:cs="Times New Roman"/>
          <w:bCs/>
          <w:iCs/>
          <w:color w:val="000000" w:themeColor="text1"/>
          <w:sz w:val="24"/>
          <w:szCs w:val="24"/>
        </w:rPr>
        <w:t xml:space="preserve"> </w:t>
      </w:r>
      <w:r w:rsidRPr="00F51CD8">
        <w:rPr>
          <w:rFonts w:ascii="Times New Roman" w:hAnsi="Times New Roman" w:cs="Times New Roman"/>
          <w:bCs/>
          <w:iCs/>
          <w:color w:val="000000" w:themeColor="text1"/>
          <w:sz w:val="24"/>
          <w:szCs w:val="24"/>
        </w:rPr>
        <w:t>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4)</w:t>
      </w:r>
      <w:r w:rsidRPr="00F51CD8">
        <w:rPr>
          <w:rFonts w:ascii="Times New Roman" w:hAnsi="Times New Roman" w:cs="Times New Roman"/>
          <w:bCs/>
          <w:iCs/>
          <w:color w:val="000000" w:themeColor="text1"/>
          <w:sz w:val="24"/>
          <w:szCs w:val="24"/>
        </w:rPr>
        <w:tab/>
        <w:t>2028 r. – 27,493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5)</w:t>
      </w:r>
      <w:r w:rsidRPr="00F51CD8">
        <w:rPr>
          <w:rFonts w:ascii="Times New Roman" w:hAnsi="Times New Roman" w:cs="Times New Roman"/>
          <w:bCs/>
          <w:iCs/>
          <w:color w:val="000000" w:themeColor="text1"/>
          <w:sz w:val="24"/>
          <w:szCs w:val="24"/>
        </w:rPr>
        <w:tab/>
        <w:t>2029 r. – 33,205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6)</w:t>
      </w:r>
      <w:r w:rsidRPr="00F51CD8">
        <w:rPr>
          <w:rFonts w:ascii="Times New Roman" w:hAnsi="Times New Roman" w:cs="Times New Roman"/>
          <w:bCs/>
          <w:iCs/>
          <w:color w:val="000000" w:themeColor="text1"/>
          <w:sz w:val="24"/>
          <w:szCs w:val="24"/>
        </w:rPr>
        <w:tab/>
        <w:t>2030 r. – 27,059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7)</w:t>
      </w:r>
      <w:r w:rsidRPr="00F51CD8">
        <w:rPr>
          <w:rFonts w:ascii="Times New Roman" w:hAnsi="Times New Roman" w:cs="Times New Roman"/>
          <w:bCs/>
          <w:iCs/>
          <w:color w:val="000000" w:themeColor="text1"/>
          <w:sz w:val="24"/>
          <w:szCs w:val="24"/>
        </w:rPr>
        <w:tab/>
        <w:t>2031 r. – 71,394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lastRenderedPageBreak/>
        <w:t>8)</w:t>
      </w:r>
      <w:r w:rsidRPr="00F51CD8">
        <w:rPr>
          <w:rFonts w:ascii="Times New Roman" w:hAnsi="Times New Roman" w:cs="Times New Roman"/>
          <w:bCs/>
          <w:iCs/>
          <w:color w:val="000000" w:themeColor="text1"/>
          <w:sz w:val="24"/>
          <w:szCs w:val="24"/>
        </w:rPr>
        <w:tab/>
        <w:t>2032 r. – 12,232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9)</w:t>
      </w:r>
      <w:r w:rsidRPr="00F51CD8">
        <w:rPr>
          <w:rFonts w:ascii="Times New Roman" w:hAnsi="Times New Roman" w:cs="Times New Roman"/>
          <w:bCs/>
          <w:iCs/>
          <w:color w:val="000000" w:themeColor="text1"/>
          <w:sz w:val="24"/>
          <w:szCs w:val="24"/>
        </w:rPr>
        <w:tab/>
        <w:t>2033 r. – 59,772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10)</w:t>
      </w:r>
      <w:r w:rsidRPr="00F51CD8">
        <w:rPr>
          <w:rFonts w:ascii="Times New Roman" w:hAnsi="Times New Roman" w:cs="Times New Roman"/>
          <w:bCs/>
          <w:iCs/>
          <w:color w:val="000000" w:themeColor="text1"/>
          <w:sz w:val="24"/>
          <w:szCs w:val="24"/>
        </w:rPr>
        <w:tab/>
        <w:t>2034 r. – 10,413 mln zł.</w:t>
      </w:r>
    </w:p>
    <w:p w:rsidR="00F51CD8" w:rsidRPr="00F51CD8" w:rsidRDefault="00F51CD8" w:rsidP="00D2531A">
      <w:pPr>
        <w:spacing w:before="120" w:line="360" w:lineRule="auto"/>
        <w:ind w:firstLine="709"/>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Maksymalny limit wydatków budżetu państwa w latach 2025–2034 będących skutkiem finansowym dla Komendanta Głównego Straży Granicznej</w:t>
      </w:r>
      <w:r>
        <w:rPr>
          <w:rFonts w:ascii="Times New Roman" w:hAnsi="Times New Roman" w:cs="Times New Roman"/>
          <w:bCs/>
          <w:iCs/>
          <w:color w:val="000000" w:themeColor="text1"/>
          <w:sz w:val="24"/>
          <w:szCs w:val="24"/>
        </w:rPr>
        <w:t xml:space="preserve"> określono na</w:t>
      </w:r>
      <w:r w:rsidRPr="00F51CD8">
        <w:rPr>
          <w:rFonts w:ascii="Times New Roman" w:hAnsi="Times New Roman" w:cs="Times New Roman"/>
          <w:bCs/>
          <w:iCs/>
          <w:color w:val="000000" w:themeColor="text1"/>
          <w:sz w:val="24"/>
          <w:szCs w:val="24"/>
        </w:rPr>
        <w:t xml:space="preserve"> 265,127 mln zł</w:t>
      </w:r>
      <w:r w:rsidR="008766AB">
        <w:rPr>
          <w:rFonts w:ascii="Times New Roman" w:hAnsi="Times New Roman" w:cs="Times New Roman"/>
          <w:bCs/>
          <w:iCs/>
          <w:color w:val="000000" w:themeColor="text1"/>
          <w:sz w:val="24"/>
          <w:szCs w:val="24"/>
        </w:rPr>
        <w:t>. Zgodnie z projektem ustawy</w:t>
      </w:r>
      <w:r w:rsidR="008766AB" w:rsidRPr="00F51CD8">
        <w:rPr>
          <w:rFonts w:ascii="Times New Roman" w:hAnsi="Times New Roman" w:cs="Times New Roman"/>
          <w:bCs/>
          <w:iCs/>
          <w:color w:val="000000" w:themeColor="text1"/>
          <w:sz w:val="24"/>
          <w:szCs w:val="24"/>
        </w:rPr>
        <w:t xml:space="preserve"> Komendant Główny Straży Granicznej </w:t>
      </w:r>
      <w:r w:rsidR="008766AB">
        <w:rPr>
          <w:rFonts w:ascii="Times New Roman" w:hAnsi="Times New Roman" w:cs="Times New Roman"/>
          <w:bCs/>
          <w:iCs/>
          <w:color w:val="000000" w:themeColor="text1"/>
          <w:sz w:val="24"/>
          <w:szCs w:val="24"/>
        </w:rPr>
        <w:t xml:space="preserve">będzie monitorował </w:t>
      </w:r>
      <w:r w:rsidR="008766AB" w:rsidRPr="00F51CD8">
        <w:rPr>
          <w:rFonts w:ascii="Times New Roman" w:hAnsi="Times New Roman" w:cs="Times New Roman"/>
          <w:bCs/>
          <w:iCs/>
          <w:color w:val="000000" w:themeColor="text1"/>
          <w:sz w:val="24"/>
          <w:szCs w:val="24"/>
        </w:rPr>
        <w:t>wykorzystanie</w:t>
      </w:r>
      <w:r w:rsidR="008766AB">
        <w:rPr>
          <w:rFonts w:ascii="Times New Roman" w:hAnsi="Times New Roman" w:cs="Times New Roman"/>
          <w:bCs/>
          <w:iCs/>
          <w:color w:val="000000" w:themeColor="text1"/>
          <w:sz w:val="24"/>
          <w:szCs w:val="24"/>
        </w:rPr>
        <w:t xml:space="preserve"> ww.</w:t>
      </w:r>
      <w:r w:rsidR="008766AB" w:rsidRPr="00F51CD8">
        <w:rPr>
          <w:rFonts w:ascii="Times New Roman" w:hAnsi="Times New Roman" w:cs="Times New Roman"/>
          <w:bCs/>
          <w:iCs/>
          <w:color w:val="000000" w:themeColor="text1"/>
          <w:sz w:val="24"/>
          <w:szCs w:val="24"/>
        </w:rPr>
        <w:t xml:space="preserve"> limit</w:t>
      </w:r>
      <w:r w:rsidR="008766AB">
        <w:rPr>
          <w:rFonts w:ascii="Times New Roman" w:hAnsi="Times New Roman" w:cs="Times New Roman"/>
          <w:bCs/>
          <w:iCs/>
          <w:color w:val="000000" w:themeColor="text1"/>
          <w:sz w:val="24"/>
          <w:szCs w:val="24"/>
        </w:rPr>
        <w:t>ów</w:t>
      </w:r>
      <w:r w:rsidR="008766AB" w:rsidRPr="00F51CD8">
        <w:rPr>
          <w:rFonts w:ascii="Times New Roman" w:hAnsi="Times New Roman" w:cs="Times New Roman"/>
          <w:bCs/>
          <w:iCs/>
          <w:color w:val="000000" w:themeColor="text1"/>
          <w:sz w:val="24"/>
          <w:szCs w:val="24"/>
        </w:rPr>
        <w:t xml:space="preserve"> wydatków, a w przypadku </w:t>
      </w:r>
      <w:r w:rsidR="00E36DC6" w:rsidRPr="00E36DC6">
        <w:rPr>
          <w:rFonts w:ascii="Times New Roman" w:hAnsi="Times New Roman" w:cs="Times New Roman"/>
          <w:bCs/>
          <w:iCs/>
          <w:color w:val="000000" w:themeColor="text1"/>
          <w:sz w:val="24"/>
          <w:szCs w:val="24"/>
        </w:rPr>
        <w:t>gdy wielko</w:t>
      </w:r>
      <w:r w:rsidR="00E36DC6" w:rsidRPr="00E36DC6">
        <w:rPr>
          <w:rFonts w:ascii="Times New Roman" w:hAnsi="Times New Roman" w:cs="Times New Roman" w:hint="eastAsia"/>
          <w:bCs/>
          <w:iCs/>
          <w:color w:val="000000" w:themeColor="text1"/>
          <w:sz w:val="24"/>
          <w:szCs w:val="24"/>
        </w:rPr>
        <w:t>ść</w:t>
      </w:r>
      <w:r w:rsidR="00E36DC6" w:rsidRPr="00E36DC6">
        <w:rPr>
          <w:rFonts w:ascii="Times New Roman" w:hAnsi="Times New Roman" w:cs="Times New Roman"/>
          <w:bCs/>
          <w:iCs/>
          <w:color w:val="000000" w:themeColor="text1"/>
          <w:sz w:val="24"/>
          <w:szCs w:val="24"/>
        </w:rPr>
        <w:t xml:space="preserve"> wydatk</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w po trzech kwarta</w:t>
      </w:r>
      <w:r w:rsidR="00E36DC6" w:rsidRPr="00E36DC6">
        <w:rPr>
          <w:rFonts w:ascii="Times New Roman" w:hAnsi="Times New Roman" w:cs="Times New Roman" w:hint="eastAsia"/>
          <w:bCs/>
          <w:iCs/>
          <w:color w:val="000000" w:themeColor="text1"/>
          <w:sz w:val="24"/>
          <w:szCs w:val="24"/>
        </w:rPr>
        <w:t>ł</w:t>
      </w:r>
      <w:r w:rsidR="00E36DC6" w:rsidRPr="00E36DC6">
        <w:rPr>
          <w:rFonts w:ascii="Times New Roman" w:hAnsi="Times New Roman" w:cs="Times New Roman"/>
          <w:bCs/>
          <w:iCs/>
          <w:color w:val="000000" w:themeColor="text1"/>
          <w:sz w:val="24"/>
          <w:szCs w:val="24"/>
        </w:rPr>
        <w:t xml:space="preserve">ach wyniesie </w:t>
      </w:r>
      <w:r w:rsidR="00E36DC6" w:rsidRPr="00E36DC6">
        <w:rPr>
          <w:rFonts w:ascii="Times New Roman" w:hAnsi="Times New Roman" w:cs="Times New Roman" w:hint="eastAsia"/>
          <w:bCs/>
          <w:iCs/>
          <w:color w:val="000000" w:themeColor="text1"/>
          <w:sz w:val="24"/>
          <w:szCs w:val="24"/>
        </w:rPr>
        <w:t>łą</w:t>
      </w:r>
      <w:r w:rsidR="00E36DC6" w:rsidRPr="00E36DC6">
        <w:rPr>
          <w:rFonts w:ascii="Times New Roman" w:hAnsi="Times New Roman" w:cs="Times New Roman"/>
          <w:bCs/>
          <w:iCs/>
          <w:color w:val="000000" w:themeColor="text1"/>
          <w:sz w:val="24"/>
          <w:szCs w:val="24"/>
        </w:rPr>
        <w:t>cznie wi</w:t>
      </w:r>
      <w:r w:rsidR="00E36DC6" w:rsidRPr="00E36DC6">
        <w:rPr>
          <w:rFonts w:ascii="Times New Roman" w:hAnsi="Times New Roman" w:cs="Times New Roman" w:hint="eastAsia"/>
          <w:bCs/>
          <w:iCs/>
          <w:color w:val="000000" w:themeColor="text1"/>
          <w:sz w:val="24"/>
          <w:szCs w:val="24"/>
        </w:rPr>
        <w:t>ę</w:t>
      </w:r>
      <w:r w:rsidR="00E36DC6" w:rsidRPr="00E36DC6">
        <w:rPr>
          <w:rFonts w:ascii="Times New Roman" w:hAnsi="Times New Roman" w:cs="Times New Roman"/>
          <w:bCs/>
          <w:iCs/>
          <w:color w:val="000000" w:themeColor="text1"/>
          <w:sz w:val="24"/>
          <w:szCs w:val="24"/>
        </w:rPr>
        <w:t>cej ni</w:t>
      </w:r>
      <w:r w:rsidR="00E36DC6" w:rsidRPr="00E36DC6">
        <w:rPr>
          <w:rFonts w:ascii="Times New Roman" w:hAnsi="Times New Roman" w:cs="Times New Roman" w:hint="eastAsia"/>
          <w:bCs/>
          <w:iCs/>
          <w:color w:val="000000" w:themeColor="text1"/>
          <w:sz w:val="24"/>
          <w:szCs w:val="24"/>
        </w:rPr>
        <w:t>ż</w:t>
      </w:r>
      <w:r w:rsidR="00E36DC6" w:rsidRPr="00E36DC6">
        <w:rPr>
          <w:rFonts w:ascii="Times New Roman" w:hAnsi="Times New Roman" w:cs="Times New Roman"/>
          <w:bCs/>
          <w:iCs/>
          <w:color w:val="000000" w:themeColor="text1"/>
          <w:sz w:val="24"/>
          <w:szCs w:val="24"/>
        </w:rPr>
        <w:t xml:space="preserve"> 75% limitu przewidzianego na </w:t>
      </w:r>
      <w:r w:rsidR="00E36DC6">
        <w:rPr>
          <w:rFonts w:ascii="Times New Roman" w:hAnsi="Times New Roman" w:cs="Times New Roman"/>
          <w:bCs/>
          <w:iCs/>
          <w:color w:val="000000" w:themeColor="text1"/>
          <w:sz w:val="24"/>
          <w:szCs w:val="24"/>
        </w:rPr>
        <w:t>dany</w:t>
      </w:r>
      <w:r w:rsidR="00E36DC6" w:rsidRPr="00E36DC6">
        <w:rPr>
          <w:rFonts w:ascii="Times New Roman" w:hAnsi="Times New Roman" w:cs="Times New Roman"/>
          <w:bCs/>
          <w:iCs/>
          <w:color w:val="000000" w:themeColor="text1"/>
          <w:sz w:val="24"/>
          <w:szCs w:val="24"/>
        </w:rPr>
        <w:t xml:space="preserve"> rok, wielko</w:t>
      </w:r>
      <w:r w:rsidR="00E36DC6" w:rsidRPr="00E36DC6">
        <w:rPr>
          <w:rFonts w:ascii="Times New Roman" w:hAnsi="Times New Roman" w:cs="Times New Roman" w:hint="eastAsia"/>
          <w:bCs/>
          <w:iCs/>
          <w:color w:val="000000" w:themeColor="text1"/>
          <w:sz w:val="24"/>
          <w:szCs w:val="24"/>
        </w:rPr>
        <w:t>ść</w:t>
      </w:r>
      <w:r w:rsidR="00E36DC6" w:rsidRPr="00E36DC6">
        <w:rPr>
          <w:rFonts w:ascii="Times New Roman" w:hAnsi="Times New Roman" w:cs="Times New Roman"/>
          <w:bCs/>
          <w:iCs/>
          <w:color w:val="000000" w:themeColor="text1"/>
          <w:sz w:val="24"/>
          <w:szCs w:val="24"/>
        </w:rPr>
        <w:t xml:space="preserve"> wydatk</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w w IV kwartale obni</w:t>
      </w:r>
      <w:r w:rsidR="00E36DC6" w:rsidRPr="00E36DC6">
        <w:rPr>
          <w:rFonts w:ascii="Times New Roman" w:hAnsi="Times New Roman" w:cs="Times New Roman" w:hint="eastAsia"/>
          <w:bCs/>
          <w:iCs/>
          <w:color w:val="000000" w:themeColor="text1"/>
          <w:sz w:val="24"/>
          <w:szCs w:val="24"/>
        </w:rPr>
        <w:t>ż</w:t>
      </w:r>
      <w:r w:rsidR="00E36DC6">
        <w:rPr>
          <w:rFonts w:ascii="Times New Roman" w:hAnsi="Times New Roman" w:cs="Times New Roman"/>
          <w:bCs/>
          <w:iCs/>
          <w:color w:val="000000" w:themeColor="text1"/>
          <w:sz w:val="24"/>
          <w:szCs w:val="24"/>
        </w:rPr>
        <w:t>y</w:t>
      </w:r>
      <w:r w:rsidR="00E36DC6" w:rsidRPr="00E36DC6">
        <w:rPr>
          <w:rFonts w:ascii="Times New Roman" w:hAnsi="Times New Roman" w:cs="Times New Roman"/>
          <w:bCs/>
          <w:iCs/>
          <w:color w:val="000000" w:themeColor="text1"/>
          <w:sz w:val="24"/>
          <w:szCs w:val="24"/>
        </w:rPr>
        <w:t xml:space="preserve"> o kwot</w:t>
      </w:r>
      <w:r w:rsidR="00E36DC6" w:rsidRPr="00E36DC6">
        <w:rPr>
          <w:rFonts w:ascii="Times New Roman" w:hAnsi="Times New Roman" w:cs="Times New Roman" w:hint="eastAsia"/>
          <w:bCs/>
          <w:iCs/>
          <w:color w:val="000000" w:themeColor="text1"/>
          <w:sz w:val="24"/>
          <w:szCs w:val="24"/>
        </w:rPr>
        <w:t>ę</w:t>
      </w:r>
      <w:r w:rsidR="00E36DC6" w:rsidRPr="00E36DC6">
        <w:rPr>
          <w:rFonts w:ascii="Times New Roman" w:hAnsi="Times New Roman" w:cs="Times New Roman"/>
          <w:bCs/>
          <w:iCs/>
          <w:color w:val="000000" w:themeColor="text1"/>
          <w:sz w:val="24"/>
          <w:szCs w:val="24"/>
        </w:rPr>
        <w:t xml:space="preserve"> przekroczenia, okre</w:t>
      </w:r>
      <w:r w:rsidR="00E36DC6" w:rsidRPr="00E36DC6">
        <w:rPr>
          <w:rFonts w:ascii="Times New Roman" w:hAnsi="Times New Roman" w:cs="Times New Roman" w:hint="eastAsia"/>
          <w:bCs/>
          <w:iCs/>
          <w:color w:val="000000" w:themeColor="text1"/>
          <w:sz w:val="24"/>
          <w:szCs w:val="24"/>
        </w:rPr>
        <w:t>ś</w:t>
      </w:r>
      <w:r w:rsidR="00E36DC6" w:rsidRPr="00E36DC6">
        <w:rPr>
          <w:rFonts w:ascii="Times New Roman" w:hAnsi="Times New Roman" w:cs="Times New Roman"/>
          <w:bCs/>
          <w:iCs/>
          <w:color w:val="000000" w:themeColor="text1"/>
          <w:sz w:val="24"/>
          <w:szCs w:val="24"/>
        </w:rPr>
        <w:t>laj</w:t>
      </w:r>
      <w:r w:rsidR="00E36DC6" w:rsidRPr="00E36DC6">
        <w:rPr>
          <w:rFonts w:ascii="Times New Roman" w:hAnsi="Times New Roman" w:cs="Times New Roman" w:hint="eastAsia"/>
          <w:bCs/>
          <w:iCs/>
          <w:color w:val="000000" w:themeColor="text1"/>
          <w:sz w:val="24"/>
          <w:szCs w:val="24"/>
        </w:rPr>
        <w:t>ą</w:t>
      </w:r>
      <w:r w:rsidR="00E36DC6" w:rsidRPr="00E36DC6">
        <w:rPr>
          <w:rFonts w:ascii="Times New Roman" w:hAnsi="Times New Roman" w:cs="Times New Roman"/>
          <w:bCs/>
          <w:iCs/>
          <w:color w:val="000000" w:themeColor="text1"/>
          <w:sz w:val="24"/>
          <w:szCs w:val="24"/>
        </w:rPr>
        <w:t>c zakres ogranicze</w:t>
      </w:r>
      <w:r w:rsidR="00E36DC6" w:rsidRPr="00E36DC6">
        <w:rPr>
          <w:rFonts w:ascii="Times New Roman" w:hAnsi="Times New Roman" w:cs="Times New Roman" w:hint="eastAsia"/>
          <w:bCs/>
          <w:iCs/>
          <w:color w:val="000000" w:themeColor="text1"/>
          <w:sz w:val="24"/>
          <w:szCs w:val="24"/>
        </w:rPr>
        <w:t>ń</w:t>
      </w:r>
      <w:r w:rsidR="00E36DC6" w:rsidRPr="00E36DC6">
        <w:rPr>
          <w:rFonts w:ascii="Times New Roman" w:hAnsi="Times New Roman" w:cs="Times New Roman"/>
          <w:bCs/>
          <w:iCs/>
          <w:color w:val="000000" w:themeColor="text1"/>
          <w:sz w:val="24"/>
          <w:szCs w:val="24"/>
        </w:rPr>
        <w:t xml:space="preserve"> dla poszczeg</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lnych zada</w:t>
      </w:r>
      <w:r w:rsidR="00E36DC6" w:rsidRPr="00E36DC6">
        <w:rPr>
          <w:rFonts w:ascii="Times New Roman" w:hAnsi="Times New Roman" w:cs="Times New Roman" w:hint="eastAsia"/>
          <w:bCs/>
          <w:iCs/>
          <w:color w:val="000000" w:themeColor="text1"/>
          <w:sz w:val="24"/>
          <w:szCs w:val="24"/>
        </w:rPr>
        <w:t>ń</w:t>
      </w:r>
      <w:r w:rsidR="00E36DC6" w:rsidRPr="00E36DC6">
        <w:rPr>
          <w:rFonts w:ascii="Times New Roman" w:hAnsi="Times New Roman" w:cs="Times New Roman"/>
          <w:bCs/>
          <w:iCs/>
          <w:color w:val="000000" w:themeColor="text1"/>
          <w:sz w:val="24"/>
          <w:szCs w:val="24"/>
        </w:rPr>
        <w:t xml:space="preserve"> re</w:t>
      </w:r>
      <w:r w:rsidR="00E36DC6">
        <w:rPr>
          <w:rFonts w:ascii="Times New Roman" w:hAnsi="Times New Roman" w:cs="Times New Roman"/>
          <w:bCs/>
          <w:iCs/>
          <w:color w:val="000000" w:themeColor="text1"/>
          <w:sz w:val="24"/>
          <w:szCs w:val="24"/>
        </w:rPr>
        <w:t>alizowanych na podstawie ustawy</w:t>
      </w:r>
      <w:r w:rsidR="008766AB" w:rsidRPr="00F51CD8">
        <w:rPr>
          <w:rFonts w:ascii="Times New Roman" w:hAnsi="Times New Roman" w:cs="Times New Roman"/>
          <w:bCs/>
          <w:iCs/>
          <w:color w:val="000000" w:themeColor="text1"/>
          <w:sz w:val="24"/>
          <w:szCs w:val="24"/>
        </w:rPr>
        <w:t>.</w:t>
      </w:r>
      <w:r w:rsidR="008766AB">
        <w:rPr>
          <w:rFonts w:ascii="Times New Roman" w:hAnsi="Times New Roman" w:cs="Times New Roman"/>
          <w:bCs/>
          <w:iCs/>
          <w:color w:val="000000" w:themeColor="text1"/>
          <w:sz w:val="24"/>
          <w:szCs w:val="24"/>
        </w:rPr>
        <w:t xml:space="preserve"> Szczegółowy podział wydatków </w:t>
      </w:r>
      <w:r w:rsidR="008766AB" w:rsidRPr="00EB10F9">
        <w:rPr>
          <w:rFonts w:ascii="Times New Roman" w:hAnsi="Times New Roman" w:cs="Times New Roman"/>
          <w:bCs/>
          <w:iCs/>
          <w:color w:val="000000" w:themeColor="text1"/>
          <w:sz w:val="24"/>
          <w:szCs w:val="24"/>
        </w:rPr>
        <w:t>w latach 2025–2034</w:t>
      </w:r>
      <w:r w:rsidR="008766AB">
        <w:rPr>
          <w:rFonts w:ascii="Times New Roman" w:hAnsi="Times New Roman" w:cs="Times New Roman"/>
          <w:bCs/>
          <w:iCs/>
          <w:color w:val="000000" w:themeColor="text1"/>
          <w:sz w:val="24"/>
          <w:szCs w:val="24"/>
        </w:rPr>
        <w:t>:</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w:t>
      </w:r>
      <w:r w:rsidRPr="00F51CD8">
        <w:rPr>
          <w:rFonts w:ascii="Times New Roman" w:hAnsi="Times New Roman" w:cs="Times New Roman"/>
          <w:bCs/>
          <w:iCs/>
          <w:color w:val="000000" w:themeColor="text1"/>
          <w:sz w:val="24"/>
          <w:szCs w:val="24"/>
        </w:rPr>
        <w:tab/>
        <w:t>2025 r. – 43,734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2)</w:t>
      </w:r>
      <w:r w:rsidRPr="00F51CD8">
        <w:rPr>
          <w:rFonts w:ascii="Times New Roman" w:hAnsi="Times New Roman" w:cs="Times New Roman"/>
          <w:bCs/>
          <w:iCs/>
          <w:color w:val="000000" w:themeColor="text1"/>
          <w:sz w:val="24"/>
          <w:szCs w:val="24"/>
        </w:rPr>
        <w:tab/>
        <w:t>2026 r. – 13,943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3)</w:t>
      </w:r>
      <w:r w:rsidRPr="00F51CD8">
        <w:rPr>
          <w:rFonts w:ascii="Times New Roman" w:hAnsi="Times New Roman" w:cs="Times New Roman"/>
          <w:bCs/>
          <w:iCs/>
          <w:color w:val="000000" w:themeColor="text1"/>
          <w:sz w:val="24"/>
          <w:szCs w:val="24"/>
        </w:rPr>
        <w:tab/>
        <w:t>2027 r. – 40,000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4)</w:t>
      </w:r>
      <w:r w:rsidRPr="00F51CD8">
        <w:rPr>
          <w:rFonts w:ascii="Times New Roman" w:hAnsi="Times New Roman" w:cs="Times New Roman"/>
          <w:bCs/>
          <w:iCs/>
          <w:color w:val="000000" w:themeColor="text1"/>
          <w:sz w:val="24"/>
          <w:szCs w:val="24"/>
        </w:rPr>
        <w:tab/>
        <w:t>2028 r. – 23,000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5)</w:t>
      </w:r>
      <w:r w:rsidRPr="00F51CD8">
        <w:rPr>
          <w:rFonts w:ascii="Times New Roman" w:hAnsi="Times New Roman" w:cs="Times New Roman"/>
          <w:bCs/>
          <w:iCs/>
          <w:color w:val="000000" w:themeColor="text1"/>
          <w:sz w:val="24"/>
          <w:szCs w:val="24"/>
        </w:rPr>
        <w:tab/>
        <w:t>2029 r. – 24,950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6)</w:t>
      </w:r>
      <w:r w:rsidRPr="00F51CD8">
        <w:rPr>
          <w:rFonts w:ascii="Times New Roman" w:hAnsi="Times New Roman" w:cs="Times New Roman"/>
          <w:bCs/>
          <w:iCs/>
          <w:color w:val="000000" w:themeColor="text1"/>
          <w:sz w:val="24"/>
          <w:szCs w:val="24"/>
        </w:rPr>
        <w:tab/>
        <w:t>2030 r. – 19,500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7)</w:t>
      </w:r>
      <w:r w:rsidRPr="00F51CD8">
        <w:rPr>
          <w:rFonts w:ascii="Times New Roman" w:hAnsi="Times New Roman" w:cs="Times New Roman"/>
          <w:bCs/>
          <w:iCs/>
          <w:color w:val="000000" w:themeColor="text1"/>
          <w:sz w:val="24"/>
          <w:szCs w:val="24"/>
        </w:rPr>
        <w:tab/>
        <w:t>2031 r. – 33,500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8)</w:t>
      </w:r>
      <w:r w:rsidRPr="00F51CD8">
        <w:rPr>
          <w:rFonts w:ascii="Times New Roman" w:hAnsi="Times New Roman" w:cs="Times New Roman"/>
          <w:bCs/>
          <w:iCs/>
          <w:color w:val="000000" w:themeColor="text1"/>
          <w:sz w:val="24"/>
          <w:szCs w:val="24"/>
        </w:rPr>
        <w:tab/>
        <w:t>2032 r. – 7,500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9)</w:t>
      </w:r>
      <w:r w:rsidRPr="00F51CD8">
        <w:rPr>
          <w:rFonts w:ascii="Times New Roman" w:hAnsi="Times New Roman" w:cs="Times New Roman"/>
          <w:bCs/>
          <w:iCs/>
          <w:color w:val="000000" w:themeColor="text1"/>
          <w:sz w:val="24"/>
          <w:szCs w:val="24"/>
        </w:rPr>
        <w:tab/>
        <w:t>2033 r. – 55,000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10)</w:t>
      </w:r>
      <w:r w:rsidRPr="00F51CD8">
        <w:rPr>
          <w:rFonts w:ascii="Times New Roman" w:hAnsi="Times New Roman" w:cs="Times New Roman"/>
          <w:bCs/>
          <w:iCs/>
          <w:color w:val="000000" w:themeColor="text1"/>
          <w:sz w:val="24"/>
          <w:szCs w:val="24"/>
        </w:rPr>
        <w:tab/>
        <w:t>2034 r. – 4,000 mln zł.</w:t>
      </w:r>
    </w:p>
    <w:p w:rsidR="00F51CD8" w:rsidRPr="00F51CD8" w:rsidRDefault="00EB10F9" w:rsidP="00D2531A">
      <w:pPr>
        <w:spacing w:before="120" w:line="360" w:lineRule="auto"/>
        <w:ind w:firstLine="709"/>
        <w:jc w:val="both"/>
        <w:rPr>
          <w:rFonts w:ascii="Times New Roman" w:hAnsi="Times New Roman" w:cs="Times New Roman"/>
          <w:bCs/>
          <w:iCs/>
          <w:color w:val="000000" w:themeColor="text1"/>
          <w:sz w:val="24"/>
          <w:szCs w:val="24"/>
        </w:rPr>
      </w:pPr>
      <w:r w:rsidRPr="00EB10F9">
        <w:rPr>
          <w:rFonts w:ascii="Times New Roman" w:hAnsi="Times New Roman" w:cs="Times New Roman"/>
          <w:bCs/>
          <w:iCs/>
          <w:color w:val="000000" w:themeColor="text1"/>
          <w:sz w:val="24"/>
          <w:szCs w:val="24"/>
        </w:rPr>
        <w:t>Maksymalny limit wydatków budżetu państwa w latach 2025–20</w:t>
      </w:r>
      <w:r w:rsidR="00F82111">
        <w:rPr>
          <w:rFonts w:ascii="Times New Roman" w:hAnsi="Times New Roman" w:cs="Times New Roman"/>
          <w:bCs/>
          <w:iCs/>
          <w:color w:val="000000" w:themeColor="text1"/>
          <w:sz w:val="24"/>
          <w:szCs w:val="24"/>
        </w:rPr>
        <w:t>34 będących skutkiem finansowym</w:t>
      </w:r>
      <w:r w:rsidRPr="00EB10F9">
        <w:rPr>
          <w:rFonts w:ascii="Times New Roman" w:hAnsi="Times New Roman" w:cs="Times New Roman"/>
          <w:bCs/>
          <w:iCs/>
          <w:color w:val="000000" w:themeColor="text1"/>
          <w:sz w:val="24"/>
          <w:szCs w:val="24"/>
        </w:rPr>
        <w:t xml:space="preserve"> dla </w:t>
      </w:r>
      <w:r w:rsidR="00F51CD8" w:rsidRPr="00F51CD8">
        <w:rPr>
          <w:rFonts w:ascii="Times New Roman" w:hAnsi="Times New Roman" w:cs="Times New Roman"/>
          <w:bCs/>
          <w:iCs/>
          <w:color w:val="000000" w:themeColor="text1"/>
          <w:sz w:val="24"/>
          <w:szCs w:val="24"/>
        </w:rPr>
        <w:t xml:space="preserve">Ministerstwa Spraw Wewnętrznych i Administracji </w:t>
      </w:r>
      <w:r>
        <w:rPr>
          <w:rFonts w:ascii="Times New Roman" w:hAnsi="Times New Roman" w:cs="Times New Roman"/>
          <w:bCs/>
          <w:iCs/>
          <w:color w:val="000000" w:themeColor="text1"/>
          <w:sz w:val="24"/>
          <w:szCs w:val="24"/>
        </w:rPr>
        <w:t xml:space="preserve">określono na </w:t>
      </w:r>
      <w:r w:rsidR="00F51CD8" w:rsidRPr="00F51CD8">
        <w:rPr>
          <w:rFonts w:ascii="Times New Roman" w:hAnsi="Times New Roman" w:cs="Times New Roman"/>
          <w:bCs/>
          <w:iCs/>
          <w:color w:val="000000" w:themeColor="text1"/>
          <w:sz w:val="24"/>
          <w:szCs w:val="24"/>
        </w:rPr>
        <w:t>7,146 mln zł</w:t>
      </w:r>
      <w:r w:rsidR="008766AB">
        <w:rPr>
          <w:rFonts w:ascii="Times New Roman" w:hAnsi="Times New Roman" w:cs="Times New Roman"/>
          <w:bCs/>
          <w:iCs/>
          <w:color w:val="000000" w:themeColor="text1"/>
          <w:sz w:val="24"/>
          <w:szCs w:val="24"/>
        </w:rPr>
        <w:t xml:space="preserve">. </w:t>
      </w:r>
      <w:r w:rsidR="008766AB" w:rsidRPr="00EB10F9">
        <w:rPr>
          <w:rFonts w:ascii="Times New Roman" w:hAnsi="Times New Roman" w:cs="Times New Roman"/>
          <w:bCs/>
          <w:iCs/>
          <w:color w:val="000000" w:themeColor="text1"/>
          <w:sz w:val="24"/>
          <w:szCs w:val="24"/>
        </w:rPr>
        <w:t xml:space="preserve">Zgodnie z projektem ustawy </w:t>
      </w:r>
      <w:r w:rsidR="008766AB" w:rsidRPr="00F51CD8">
        <w:rPr>
          <w:rFonts w:ascii="Times New Roman" w:hAnsi="Times New Roman" w:cs="Times New Roman"/>
          <w:bCs/>
          <w:iCs/>
          <w:color w:val="000000" w:themeColor="text1"/>
          <w:sz w:val="24"/>
          <w:szCs w:val="24"/>
        </w:rPr>
        <w:t xml:space="preserve">Minister Spraw Wewnętrznych i Administracji </w:t>
      </w:r>
      <w:r w:rsidR="008766AB" w:rsidRPr="00EB10F9">
        <w:rPr>
          <w:rFonts w:ascii="Times New Roman" w:hAnsi="Times New Roman" w:cs="Times New Roman"/>
          <w:bCs/>
          <w:iCs/>
          <w:color w:val="000000" w:themeColor="text1"/>
          <w:sz w:val="24"/>
          <w:szCs w:val="24"/>
        </w:rPr>
        <w:t xml:space="preserve">będzie monitorował </w:t>
      </w:r>
      <w:r w:rsidR="008766AB" w:rsidRPr="00EB10F9">
        <w:rPr>
          <w:rFonts w:ascii="Times New Roman" w:hAnsi="Times New Roman" w:cs="Times New Roman"/>
          <w:bCs/>
          <w:iCs/>
          <w:color w:val="000000" w:themeColor="text1"/>
          <w:sz w:val="24"/>
          <w:szCs w:val="24"/>
        </w:rPr>
        <w:lastRenderedPageBreak/>
        <w:t xml:space="preserve">wykorzystanie ww. limitów wydatków, a w przypadku </w:t>
      </w:r>
      <w:r w:rsidR="00E36DC6" w:rsidRPr="00E36DC6">
        <w:rPr>
          <w:rFonts w:ascii="Times New Roman" w:hAnsi="Times New Roman" w:cs="Times New Roman"/>
          <w:bCs/>
          <w:iCs/>
          <w:color w:val="000000" w:themeColor="text1"/>
          <w:sz w:val="24"/>
          <w:szCs w:val="24"/>
        </w:rPr>
        <w:t>gdy wielko</w:t>
      </w:r>
      <w:r w:rsidR="00E36DC6" w:rsidRPr="00E36DC6">
        <w:rPr>
          <w:rFonts w:ascii="Times New Roman" w:hAnsi="Times New Roman" w:cs="Times New Roman" w:hint="eastAsia"/>
          <w:bCs/>
          <w:iCs/>
          <w:color w:val="000000" w:themeColor="text1"/>
          <w:sz w:val="24"/>
          <w:szCs w:val="24"/>
        </w:rPr>
        <w:t>ść</w:t>
      </w:r>
      <w:r w:rsidR="00E36DC6" w:rsidRPr="00E36DC6">
        <w:rPr>
          <w:rFonts w:ascii="Times New Roman" w:hAnsi="Times New Roman" w:cs="Times New Roman"/>
          <w:bCs/>
          <w:iCs/>
          <w:color w:val="000000" w:themeColor="text1"/>
          <w:sz w:val="24"/>
          <w:szCs w:val="24"/>
        </w:rPr>
        <w:t xml:space="preserve"> wydatk</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w po trzech kwarta</w:t>
      </w:r>
      <w:r w:rsidR="00E36DC6" w:rsidRPr="00E36DC6">
        <w:rPr>
          <w:rFonts w:ascii="Times New Roman" w:hAnsi="Times New Roman" w:cs="Times New Roman" w:hint="eastAsia"/>
          <w:bCs/>
          <w:iCs/>
          <w:color w:val="000000" w:themeColor="text1"/>
          <w:sz w:val="24"/>
          <w:szCs w:val="24"/>
        </w:rPr>
        <w:t>ł</w:t>
      </w:r>
      <w:r w:rsidR="00E36DC6" w:rsidRPr="00E36DC6">
        <w:rPr>
          <w:rFonts w:ascii="Times New Roman" w:hAnsi="Times New Roman" w:cs="Times New Roman"/>
          <w:bCs/>
          <w:iCs/>
          <w:color w:val="000000" w:themeColor="text1"/>
          <w:sz w:val="24"/>
          <w:szCs w:val="24"/>
        </w:rPr>
        <w:t xml:space="preserve">ach wyniesie </w:t>
      </w:r>
      <w:r w:rsidR="00E36DC6" w:rsidRPr="00E36DC6">
        <w:rPr>
          <w:rFonts w:ascii="Times New Roman" w:hAnsi="Times New Roman" w:cs="Times New Roman" w:hint="eastAsia"/>
          <w:bCs/>
          <w:iCs/>
          <w:color w:val="000000" w:themeColor="text1"/>
          <w:sz w:val="24"/>
          <w:szCs w:val="24"/>
        </w:rPr>
        <w:t>łą</w:t>
      </w:r>
      <w:r w:rsidR="00E36DC6" w:rsidRPr="00E36DC6">
        <w:rPr>
          <w:rFonts w:ascii="Times New Roman" w:hAnsi="Times New Roman" w:cs="Times New Roman"/>
          <w:bCs/>
          <w:iCs/>
          <w:color w:val="000000" w:themeColor="text1"/>
          <w:sz w:val="24"/>
          <w:szCs w:val="24"/>
        </w:rPr>
        <w:t>cznie wi</w:t>
      </w:r>
      <w:r w:rsidR="00E36DC6" w:rsidRPr="00E36DC6">
        <w:rPr>
          <w:rFonts w:ascii="Times New Roman" w:hAnsi="Times New Roman" w:cs="Times New Roman" w:hint="eastAsia"/>
          <w:bCs/>
          <w:iCs/>
          <w:color w:val="000000" w:themeColor="text1"/>
          <w:sz w:val="24"/>
          <w:szCs w:val="24"/>
        </w:rPr>
        <w:t>ę</w:t>
      </w:r>
      <w:r w:rsidR="00E36DC6" w:rsidRPr="00E36DC6">
        <w:rPr>
          <w:rFonts w:ascii="Times New Roman" w:hAnsi="Times New Roman" w:cs="Times New Roman"/>
          <w:bCs/>
          <w:iCs/>
          <w:color w:val="000000" w:themeColor="text1"/>
          <w:sz w:val="24"/>
          <w:szCs w:val="24"/>
        </w:rPr>
        <w:t>cej ni</w:t>
      </w:r>
      <w:r w:rsidR="00E36DC6" w:rsidRPr="00E36DC6">
        <w:rPr>
          <w:rFonts w:ascii="Times New Roman" w:hAnsi="Times New Roman" w:cs="Times New Roman" w:hint="eastAsia"/>
          <w:bCs/>
          <w:iCs/>
          <w:color w:val="000000" w:themeColor="text1"/>
          <w:sz w:val="24"/>
          <w:szCs w:val="24"/>
        </w:rPr>
        <w:t>ż</w:t>
      </w:r>
      <w:r w:rsidR="00E36DC6" w:rsidRPr="00E36DC6">
        <w:rPr>
          <w:rFonts w:ascii="Times New Roman" w:hAnsi="Times New Roman" w:cs="Times New Roman"/>
          <w:bCs/>
          <w:iCs/>
          <w:color w:val="000000" w:themeColor="text1"/>
          <w:sz w:val="24"/>
          <w:szCs w:val="24"/>
        </w:rPr>
        <w:t xml:space="preserve"> 75% limitu przewidzianego na dany rok, wielko</w:t>
      </w:r>
      <w:r w:rsidR="00E36DC6" w:rsidRPr="00E36DC6">
        <w:rPr>
          <w:rFonts w:ascii="Times New Roman" w:hAnsi="Times New Roman" w:cs="Times New Roman" w:hint="eastAsia"/>
          <w:bCs/>
          <w:iCs/>
          <w:color w:val="000000" w:themeColor="text1"/>
          <w:sz w:val="24"/>
          <w:szCs w:val="24"/>
        </w:rPr>
        <w:t>ść</w:t>
      </w:r>
      <w:r w:rsidR="00E36DC6" w:rsidRPr="00E36DC6">
        <w:rPr>
          <w:rFonts w:ascii="Times New Roman" w:hAnsi="Times New Roman" w:cs="Times New Roman"/>
          <w:bCs/>
          <w:iCs/>
          <w:color w:val="000000" w:themeColor="text1"/>
          <w:sz w:val="24"/>
          <w:szCs w:val="24"/>
        </w:rPr>
        <w:t xml:space="preserve"> wydatk</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w w IV kwartale obni</w:t>
      </w:r>
      <w:r w:rsidR="00E36DC6" w:rsidRPr="00E36DC6">
        <w:rPr>
          <w:rFonts w:ascii="Times New Roman" w:hAnsi="Times New Roman" w:cs="Times New Roman" w:hint="eastAsia"/>
          <w:bCs/>
          <w:iCs/>
          <w:color w:val="000000" w:themeColor="text1"/>
          <w:sz w:val="24"/>
          <w:szCs w:val="24"/>
        </w:rPr>
        <w:t>ż</w:t>
      </w:r>
      <w:r w:rsidR="00E36DC6" w:rsidRPr="00E36DC6">
        <w:rPr>
          <w:rFonts w:ascii="Times New Roman" w:hAnsi="Times New Roman" w:cs="Times New Roman"/>
          <w:bCs/>
          <w:iCs/>
          <w:color w:val="000000" w:themeColor="text1"/>
          <w:sz w:val="24"/>
          <w:szCs w:val="24"/>
        </w:rPr>
        <w:t>y o kwot</w:t>
      </w:r>
      <w:r w:rsidR="00E36DC6" w:rsidRPr="00E36DC6">
        <w:rPr>
          <w:rFonts w:ascii="Times New Roman" w:hAnsi="Times New Roman" w:cs="Times New Roman" w:hint="eastAsia"/>
          <w:bCs/>
          <w:iCs/>
          <w:color w:val="000000" w:themeColor="text1"/>
          <w:sz w:val="24"/>
          <w:szCs w:val="24"/>
        </w:rPr>
        <w:t>ę</w:t>
      </w:r>
      <w:r w:rsidR="00E36DC6" w:rsidRPr="00E36DC6">
        <w:rPr>
          <w:rFonts w:ascii="Times New Roman" w:hAnsi="Times New Roman" w:cs="Times New Roman"/>
          <w:bCs/>
          <w:iCs/>
          <w:color w:val="000000" w:themeColor="text1"/>
          <w:sz w:val="24"/>
          <w:szCs w:val="24"/>
        </w:rPr>
        <w:t xml:space="preserve"> przekroczenia, okre</w:t>
      </w:r>
      <w:r w:rsidR="00E36DC6" w:rsidRPr="00E36DC6">
        <w:rPr>
          <w:rFonts w:ascii="Times New Roman" w:hAnsi="Times New Roman" w:cs="Times New Roman" w:hint="eastAsia"/>
          <w:bCs/>
          <w:iCs/>
          <w:color w:val="000000" w:themeColor="text1"/>
          <w:sz w:val="24"/>
          <w:szCs w:val="24"/>
        </w:rPr>
        <w:t>ś</w:t>
      </w:r>
      <w:r w:rsidR="00E36DC6" w:rsidRPr="00E36DC6">
        <w:rPr>
          <w:rFonts w:ascii="Times New Roman" w:hAnsi="Times New Roman" w:cs="Times New Roman"/>
          <w:bCs/>
          <w:iCs/>
          <w:color w:val="000000" w:themeColor="text1"/>
          <w:sz w:val="24"/>
          <w:szCs w:val="24"/>
        </w:rPr>
        <w:t>laj</w:t>
      </w:r>
      <w:r w:rsidR="00E36DC6" w:rsidRPr="00E36DC6">
        <w:rPr>
          <w:rFonts w:ascii="Times New Roman" w:hAnsi="Times New Roman" w:cs="Times New Roman" w:hint="eastAsia"/>
          <w:bCs/>
          <w:iCs/>
          <w:color w:val="000000" w:themeColor="text1"/>
          <w:sz w:val="24"/>
          <w:szCs w:val="24"/>
        </w:rPr>
        <w:t>ą</w:t>
      </w:r>
      <w:r w:rsidR="00E36DC6" w:rsidRPr="00E36DC6">
        <w:rPr>
          <w:rFonts w:ascii="Times New Roman" w:hAnsi="Times New Roman" w:cs="Times New Roman"/>
          <w:bCs/>
          <w:iCs/>
          <w:color w:val="000000" w:themeColor="text1"/>
          <w:sz w:val="24"/>
          <w:szCs w:val="24"/>
        </w:rPr>
        <w:t>c zakres ogranicze</w:t>
      </w:r>
      <w:r w:rsidR="00E36DC6" w:rsidRPr="00E36DC6">
        <w:rPr>
          <w:rFonts w:ascii="Times New Roman" w:hAnsi="Times New Roman" w:cs="Times New Roman" w:hint="eastAsia"/>
          <w:bCs/>
          <w:iCs/>
          <w:color w:val="000000" w:themeColor="text1"/>
          <w:sz w:val="24"/>
          <w:szCs w:val="24"/>
        </w:rPr>
        <w:t>ń</w:t>
      </w:r>
      <w:r w:rsidR="00E36DC6" w:rsidRPr="00E36DC6">
        <w:rPr>
          <w:rFonts w:ascii="Times New Roman" w:hAnsi="Times New Roman" w:cs="Times New Roman"/>
          <w:bCs/>
          <w:iCs/>
          <w:color w:val="000000" w:themeColor="text1"/>
          <w:sz w:val="24"/>
          <w:szCs w:val="24"/>
        </w:rPr>
        <w:t xml:space="preserve"> dla poszczeg</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lnych zada</w:t>
      </w:r>
      <w:r w:rsidR="00E36DC6" w:rsidRPr="00E36DC6">
        <w:rPr>
          <w:rFonts w:ascii="Times New Roman" w:hAnsi="Times New Roman" w:cs="Times New Roman" w:hint="eastAsia"/>
          <w:bCs/>
          <w:iCs/>
          <w:color w:val="000000" w:themeColor="text1"/>
          <w:sz w:val="24"/>
          <w:szCs w:val="24"/>
        </w:rPr>
        <w:t>ń</w:t>
      </w:r>
      <w:r w:rsidR="00E36DC6" w:rsidRPr="00E36DC6">
        <w:rPr>
          <w:rFonts w:ascii="Times New Roman" w:hAnsi="Times New Roman" w:cs="Times New Roman"/>
          <w:bCs/>
          <w:iCs/>
          <w:color w:val="000000" w:themeColor="text1"/>
          <w:sz w:val="24"/>
          <w:szCs w:val="24"/>
        </w:rPr>
        <w:t xml:space="preserve"> realizowanych na podstawie ustawy</w:t>
      </w:r>
      <w:r w:rsidR="008766AB" w:rsidRPr="00EB10F9">
        <w:rPr>
          <w:rFonts w:ascii="Times New Roman" w:hAnsi="Times New Roman" w:cs="Times New Roman"/>
          <w:bCs/>
          <w:iCs/>
          <w:color w:val="000000" w:themeColor="text1"/>
          <w:sz w:val="24"/>
          <w:szCs w:val="24"/>
        </w:rPr>
        <w:t>.</w:t>
      </w:r>
      <w:r w:rsidR="008766AB">
        <w:rPr>
          <w:rFonts w:ascii="Times New Roman" w:hAnsi="Times New Roman" w:cs="Times New Roman"/>
          <w:bCs/>
          <w:iCs/>
          <w:color w:val="000000" w:themeColor="text1"/>
          <w:sz w:val="24"/>
          <w:szCs w:val="24"/>
        </w:rPr>
        <w:t xml:space="preserve"> Szczegółowy podział wydatków </w:t>
      </w:r>
      <w:r w:rsidR="008766AB" w:rsidRPr="00EB10F9">
        <w:rPr>
          <w:rFonts w:ascii="Times New Roman" w:hAnsi="Times New Roman" w:cs="Times New Roman"/>
          <w:bCs/>
          <w:iCs/>
          <w:color w:val="000000" w:themeColor="text1"/>
          <w:sz w:val="24"/>
          <w:szCs w:val="24"/>
        </w:rPr>
        <w:t>w latach 2025–2034</w:t>
      </w:r>
      <w:r w:rsidR="008766AB">
        <w:rPr>
          <w:rFonts w:ascii="Times New Roman" w:hAnsi="Times New Roman" w:cs="Times New Roman"/>
          <w:bCs/>
          <w:iCs/>
          <w:color w:val="000000" w:themeColor="text1"/>
          <w:sz w:val="24"/>
          <w:szCs w:val="24"/>
        </w:rPr>
        <w:t>:</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w:t>
      </w:r>
      <w:r w:rsidRPr="00F51CD8">
        <w:rPr>
          <w:rFonts w:ascii="Times New Roman" w:hAnsi="Times New Roman" w:cs="Times New Roman"/>
          <w:bCs/>
          <w:iCs/>
          <w:color w:val="000000" w:themeColor="text1"/>
          <w:sz w:val="24"/>
          <w:szCs w:val="24"/>
        </w:rPr>
        <w:tab/>
        <w:t>2025 r. – 0,536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2)</w:t>
      </w:r>
      <w:r w:rsidRPr="00F51CD8">
        <w:rPr>
          <w:rFonts w:ascii="Times New Roman" w:hAnsi="Times New Roman" w:cs="Times New Roman"/>
          <w:bCs/>
          <w:iCs/>
          <w:color w:val="000000" w:themeColor="text1"/>
          <w:sz w:val="24"/>
          <w:szCs w:val="24"/>
        </w:rPr>
        <w:tab/>
        <w:t>2026 r. – 0,601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3)</w:t>
      </w:r>
      <w:r w:rsidRPr="00F51CD8">
        <w:rPr>
          <w:rFonts w:ascii="Times New Roman" w:hAnsi="Times New Roman" w:cs="Times New Roman"/>
          <w:bCs/>
          <w:iCs/>
          <w:color w:val="000000" w:themeColor="text1"/>
          <w:sz w:val="24"/>
          <w:szCs w:val="24"/>
        </w:rPr>
        <w:tab/>
        <w:t>2027 r. – 0,631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4)</w:t>
      </w:r>
      <w:r w:rsidRPr="00F51CD8">
        <w:rPr>
          <w:rFonts w:ascii="Times New Roman" w:hAnsi="Times New Roman" w:cs="Times New Roman"/>
          <w:bCs/>
          <w:iCs/>
          <w:color w:val="000000" w:themeColor="text1"/>
          <w:sz w:val="24"/>
          <w:szCs w:val="24"/>
        </w:rPr>
        <w:tab/>
        <w:t>2028 r. – 0,663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5)</w:t>
      </w:r>
      <w:r w:rsidRPr="00F51CD8">
        <w:rPr>
          <w:rFonts w:ascii="Times New Roman" w:hAnsi="Times New Roman" w:cs="Times New Roman"/>
          <w:bCs/>
          <w:iCs/>
          <w:color w:val="000000" w:themeColor="text1"/>
          <w:sz w:val="24"/>
          <w:szCs w:val="24"/>
        </w:rPr>
        <w:tab/>
        <w:t>2029 r. – 0,695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6)</w:t>
      </w:r>
      <w:r w:rsidRPr="00F51CD8">
        <w:rPr>
          <w:rFonts w:ascii="Times New Roman" w:hAnsi="Times New Roman" w:cs="Times New Roman"/>
          <w:bCs/>
          <w:iCs/>
          <w:color w:val="000000" w:themeColor="text1"/>
          <w:sz w:val="24"/>
          <w:szCs w:val="24"/>
        </w:rPr>
        <w:tab/>
        <w:t>2030 r. – 0,729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7)</w:t>
      </w:r>
      <w:r w:rsidRPr="00F51CD8">
        <w:rPr>
          <w:rFonts w:ascii="Times New Roman" w:hAnsi="Times New Roman" w:cs="Times New Roman"/>
          <w:bCs/>
          <w:iCs/>
          <w:color w:val="000000" w:themeColor="text1"/>
          <w:sz w:val="24"/>
          <w:szCs w:val="24"/>
        </w:rPr>
        <w:tab/>
        <w:t>2031 r. – 0,764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8)</w:t>
      </w:r>
      <w:r w:rsidRPr="00F51CD8">
        <w:rPr>
          <w:rFonts w:ascii="Times New Roman" w:hAnsi="Times New Roman" w:cs="Times New Roman"/>
          <w:bCs/>
          <w:iCs/>
          <w:color w:val="000000" w:themeColor="text1"/>
          <w:sz w:val="24"/>
          <w:szCs w:val="24"/>
        </w:rPr>
        <w:tab/>
        <w:t>2032 r. – 0,802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9)</w:t>
      </w:r>
      <w:r w:rsidRPr="00F51CD8">
        <w:rPr>
          <w:rFonts w:ascii="Times New Roman" w:hAnsi="Times New Roman" w:cs="Times New Roman"/>
          <w:bCs/>
          <w:iCs/>
          <w:color w:val="000000" w:themeColor="text1"/>
          <w:sz w:val="24"/>
          <w:szCs w:val="24"/>
        </w:rPr>
        <w:tab/>
        <w:t>2033 r. – 0,842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10)</w:t>
      </w:r>
      <w:r w:rsidRPr="00F51CD8">
        <w:rPr>
          <w:rFonts w:ascii="Times New Roman" w:hAnsi="Times New Roman" w:cs="Times New Roman"/>
          <w:bCs/>
          <w:iCs/>
          <w:color w:val="000000" w:themeColor="text1"/>
          <w:sz w:val="24"/>
          <w:szCs w:val="24"/>
        </w:rPr>
        <w:tab/>
        <w:t>2034 r. – 0,883 mln zł;</w:t>
      </w:r>
    </w:p>
    <w:p w:rsidR="008766AB" w:rsidRPr="00F51CD8" w:rsidRDefault="003F2503" w:rsidP="00D2531A">
      <w:pPr>
        <w:spacing w:before="120" w:line="360" w:lineRule="auto"/>
        <w:ind w:firstLine="709"/>
        <w:jc w:val="both"/>
        <w:rPr>
          <w:rFonts w:ascii="Times New Roman" w:hAnsi="Times New Roman" w:cs="Times New Roman"/>
          <w:bCs/>
          <w:iCs/>
          <w:color w:val="000000" w:themeColor="text1"/>
          <w:sz w:val="24"/>
          <w:szCs w:val="24"/>
        </w:rPr>
      </w:pPr>
      <w:r w:rsidRPr="00EB10F9">
        <w:rPr>
          <w:rFonts w:ascii="Times New Roman" w:hAnsi="Times New Roman" w:cs="Times New Roman"/>
          <w:bCs/>
          <w:iCs/>
          <w:color w:val="000000" w:themeColor="text1"/>
          <w:sz w:val="24"/>
          <w:szCs w:val="24"/>
        </w:rPr>
        <w:t>Maksymalny limit wydatków budżetu państwa w latach 2025–20</w:t>
      </w:r>
      <w:r w:rsidR="00F82111">
        <w:rPr>
          <w:rFonts w:ascii="Times New Roman" w:hAnsi="Times New Roman" w:cs="Times New Roman"/>
          <w:bCs/>
          <w:iCs/>
          <w:color w:val="000000" w:themeColor="text1"/>
          <w:sz w:val="24"/>
          <w:szCs w:val="24"/>
        </w:rPr>
        <w:t>34 będących skutkiem finansowym</w:t>
      </w:r>
      <w:r w:rsidRPr="00EB10F9">
        <w:rPr>
          <w:rFonts w:ascii="Times New Roman" w:hAnsi="Times New Roman" w:cs="Times New Roman"/>
          <w:bCs/>
          <w:iCs/>
          <w:color w:val="000000" w:themeColor="text1"/>
          <w:sz w:val="24"/>
          <w:szCs w:val="24"/>
        </w:rPr>
        <w:t xml:space="preserve"> dla </w:t>
      </w:r>
      <w:r>
        <w:rPr>
          <w:rFonts w:ascii="Times New Roman" w:hAnsi="Times New Roman" w:cs="Times New Roman"/>
          <w:bCs/>
          <w:iCs/>
          <w:color w:val="000000" w:themeColor="text1"/>
          <w:sz w:val="24"/>
          <w:szCs w:val="24"/>
        </w:rPr>
        <w:t xml:space="preserve"> </w:t>
      </w:r>
      <w:r w:rsidR="00F51CD8" w:rsidRPr="00F51CD8">
        <w:rPr>
          <w:rFonts w:ascii="Times New Roman" w:hAnsi="Times New Roman" w:cs="Times New Roman"/>
          <w:bCs/>
          <w:iCs/>
          <w:color w:val="000000" w:themeColor="text1"/>
          <w:sz w:val="24"/>
          <w:szCs w:val="24"/>
        </w:rPr>
        <w:t>Urzędu do Spraw Cudzoziemców</w:t>
      </w:r>
      <w:r>
        <w:rPr>
          <w:rFonts w:ascii="Times New Roman" w:hAnsi="Times New Roman" w:cs="Times New Roman"/>
          <w:bCs/>
          <w:iCs/>
          <w:color w:val="000000" w:themeColor="text1"/>
          <w:sz w:val="24"/>
          <w:szCs w:val="24"/>
        </w:rPr>
        <w:t xml:space="preserve"> określono na</w:t>
      </w:r>
      <w:r w:rsidR="00F51CD8" w:rsidRPr="00F51CD8">
        <w:rPr>
          <w:rFonts w:ascii="Times New Roman" w:hAnsi="Times New Roman" w:cs="Times New Roman"/>
          <w:bCs/>
          <w:iCs/>
          <w:color w:val="000000" w:themeColor="text1"/>
          <w:sz w:val="24"/>
          <w:szCs w:val="24"/>
        </w:rPr>
        <w:t xml:space="preserve"> 108,56 mln </w:t>
      </w:r>
      <w:r w:rsidR="008766AB">
        <w:rPr>
          <w:rFonts w:ascii="Times New Roman" w:hAnsi="Times New Roman" w:cs="Times New Roman"/>
          <w:bCs/>
          <w:iCs/>
          <w:color w:val="000000" w:themeColor="text1"/>
          <w:sz w:val="24"/>
          <w:szCs w:val="24"/>
        </w:rPr>
        <w:t>zł.</w:t>
      </w:r>
      <w:r w:rsidR="008766AB" w:rsidRPr="008766AB">
        <w:rPr>
          <w:rFonts w:ascii="Times New Roman" w:hAnsi="Times New Roman" w:cs="Times New Roman"/>
          <w:bCs/>
          <w:iCs/>
          <w:color w:val="000000" w:themeColor="text1"/>
          <w:sz w:val="24"/>
          <w:szCs w:val="24"/>
        </w:rPr>
        <w:t xml:space="preserve"> </w:t>
      </w:r>
      <w:r w:rsidR="008766AB" w:rsidRPr="003F2503">
        <w:rPr>
          <w:rFonts w:ascii="Times New Roman" w:hAnsi="Times New Roman" w:cs="Times New Roman"/>
          <w:bCs/>
          <w:iCs/>
          <w:color w:val="000000" w:themeColor="text1"/>
          <w:sz w:val="24"/>
          <w:szCs w:val="24"/>
        </w:rPr>
        <w:t xml:space="preserve">Zgodnie z projektem ustawy Urzędu do Spraw Cudzoziemców będzie monitorował wykorzystanie ww. limitów wydatków, a w przypadku </w:t>
      </w:r>
      <w:r w:rsidR="00E36DC6" w:rsidRPr="00E36DC6">
        <w:rPr>
          <w:rFonts w:ascii="Times New Roman" w:hAnsi="Times New Roman" w:cs="Times New Roman"/>
          <w:bCs/>
          <w:iCs/>
          <w:color w:val="000000" w:themeColor="text1"/>
          <w:sz w:val="24"/>
          <w:szCs w:val="24"/>
        </w:rPr>
        <w:t>gdy wielko</w:t>
      </w:r>
      <w:r w:rsidR="00E36DC6" w:rsidRPr="00E36DC6">
        <w:rPr>
          <w:rFonts w:ascii="Times New Roman" w:hAnsi="Times New Roman" w:cs="Times New Roman" w:hint="eastAsia"/>
          <w:bCs/>
          <w:iCs/>
          <w:color w:val="000000" w:themeColor="text1"/>
          <w:sz w:val="24"/>
          <w:szCs w:val="24"/>
        </w:rPr>
        <w:t>ść</w:t>
      </w:r>
      <w:r w:rsidR="00E36DC6" w:rsidRPr="00E36DC6">
        <w:rPr>
          <w:rFonts w:ascii="Times New Roman" w:hAnsi="Times New Roman" w:cs="Times New Roman"/>
          <w:bCs/>
          <w:iCs/>
          <w:color w:val="000000" w:themeColor="text1"/>
          <w:sz w:val="24"/>
          <w:szCs w:val="24"/>
        </w:rPr>
        <w:t xml:space="preserve"> wydatk</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w po trzech kwarta</w:t>
      </w:r>
      <w:r w:rsidR="00E36DC6" w:rsidRPr="00E36DC6">
        <w:rPr>
          <w:rFonts w:ascii="Times New Roman" w:hAnsi="Times New Roman" w:cs="Times New Roman" w:hint="eastAsia"/>
          <w:bCs/>
          <w:iCs/>
          <w:color w:val="000000" w:themeColor="text1"/>
          <w:sz w:val="24"/>
          <w:szCs w:val="24"/>
        </w:rPr>
        <w:t>ł</w:t>
      </w:r>
      <w:r w:rsidR="00E36DC6" w:rsidRPr="00E36DC6">
        <w:rPr>
          <w:rFonts w:ascii="Times New Roman" w:hAnsi="Times New Roman" w:cs="Times New Roman"/>
          <w:bCs/>
          <w:iCs/>
          <w:color w:val="000000" w:themeColor="text1"/>
          <w:sz w:val="24"/>
          <w:szCs w:val="24"/>
        </w:rPr>
        <w:t xml:space="preserve">ach wyniesie </w:t>
      </w:r>
      <w:r w:rsidR="00E36DC6" w:rsidRPr="00E36DC6">
        <w:rPr>
          <w:rFonts w:ascii="Times New Roman" w:hAnsi="Times New Roman" w:cs="Times New Roman" w:hint="eastAsia"/>
          <w:bCs/>
          <w:iCs/>
          <w:color w:val="000000" w:themeColor="text1"/>
          <w:sz w:val="24"/>
          <w:szCs w:val="24"/>
        </w:rPr>
        <w:t>łą</w:t>
      </w:r>
      <w:r w:rsidR="00E36DC6" w:rsidRPr="00E36DC6">
        <w:rPr>
          <w:rFonts w:ascii="Times New Roman" w:hAnsi="Times New Roman" w:cs="Times New Roman"/>
          <w:bCs/>
          <w:iCs/>
          <w:color w:val="000000" w:themeColor="text1"/>
          <w:sz w:val="24"/>
          <w:szCs w:val="24"/>
        </w:rPr>
        <w:t>cznie wi</w:t>
      </w:r>
      <w:r w:rsidR="00E36DC6" w:rsidRPr="00E36DC6">
        <w:rPr>
          <w:rFonts w:ascii="Times New Roman" w:hAnsi="Times New Roman" w:cs="Times New Roman" w:hint="eastAsia"/>
          <w:bCs/>
          <w:iCs/>
          <w:color w:val="000000" w:themeColor="text1"/>
          <w:sz w:val="24"/>
          <w:szCs w:val="24"/>
        </w:rPr>
        <w:t>ę</w:t>
      </w:r>
      <w:r w:rsidR="00E36DC6" w:rsidRPr="00E36DC6">
        <w:rPr>
          <w:rFonts w:ascii="Times New Roman" w:hAnsi="Times New Roman" w:cs="Times New Roman"/>
          <w:bCs/>
          <w:iCs/>
          <w:color w:val="000000" w:themeColor="text1"/>
          <w:sz w:val="24"/>
          <w:szCs w:val="24"/>
        </w:rPr>
        <w:t>cej ni</w:t>
      </w:r>
      <w:r w:rsidR="00E36DC6" w:rsidRPr="00E36DC6">
        <w:rPr>
          <w:rFonts w:ascii="Times New Roman" w:hAnsi="Times New Roman" w:cs="Times New Roman" w:hint="eastAsia"/>
          <w:bCs/>
          <w:iCs/>
          <w:color w:val="000000" w:themeColor="text1"/>
          <w:sz w:val="24"/>
          <w:szCs w:val="24"/>
        </w:rPr>
        <w:t>ż</w:t>
      </w:r>
      <w:r w:rsidR="00E36DC6" w:rsidRPr="00E36DC6">
        <w:rPr>
          <w:rFonts w:ascii="Times New Roman" w:hAnsi="Times New Roman" w:cs="Times New Roman"/>
          <w:bCs/>
          <w:iCs/>
          <w:color w:val="000000" w:themeColor="text1"/>
          <w:sz w:val="24"/>
          <w:szCs w:val="24"/>
        </w:rPr>
        <w:t xml:space="preserve"> 75% limitu przewidzianego na dany rok, wielko</w:t>
      </w:r>
      <w:r w:rsidR="00E36DC6" w:rsidRPr="00E36DC6">
        <w:rPr>
          <w:rFonts w:ascii="Times New Roman" w:hAnsi="Times New Roman" w:cs="Times New Roman" w:hint="eastAsia"/>
          <w:bCs/>
          <w:iCs/>
          <w:color w:val="000000" w:themeColor="text1"/>
          <w:sz w:val="24"/>
          <w:szCs w:val="24"/>
        </w:rPr>
        <w:t>ść</w:t>
      </w:r>
      <w:r w:rsidR="00E36DC6" w:rsidRPr="00E36DC6">
        <w:rPr>
          <w:rFonts w:ascii="Times New Roman" w:hAnsi="Times New Roman" w:cs="Times New Roman"/>
          <w:bCs/>
          <w:iCs/>
          <w:color w:val="000000" w:themeColor="text1"/>
          <w:sz w:val="24"/>
          <w:szCs w:val="24"/>
        </w:rPr>
        <w:t xml:space="preserve"> wydatk</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w w IV kwartale obni</w:t>
      </w:r>
      <w:r w:rsidR="00E36DC6" w:rsidRPr="00E36DC6">
        <w:rPr>
          <w:rFonts w:ascii="Times New Roman" w:hAnsi="Times New Roman" w:cs="Times New Roman" w:hint="eastAsia"/>
          <w:bCs/>
          <w:iCs/>
          <w:color w:val="000000" w:themeColor="text1"/>
          <w:sz w:val="24"/>
          <w:szCs w:val="24"/>
        </w:rPr>
        <w:t>ż</w:t>
      </w:r>
      <w:r w:rsidR="00E36DC6" w:rsidRPr="00E36DC6">
        <w:rPr>
          <w:rFonts w:ascii="Times New Roman" w:hAnsi="Times New Roman" w:cs="Times New Roman"/>
          <w:bCs/>
          <w:iCs/>
          <w:color w:val="000000" w:themeColor="text1"/>
          <w:sz w:val="24"/>
          <w:szCs w:val="24"/>
        </w:rPr>
        <w:t>y o kwot</w:t>
      </w:r>
      <w:r w:rsidR="00E36DC6" w:rsidRPr="00E36DC6">
        <w:rPr>
          <w:rFonts w:ascii="Times New Roman" w:hAnsi="Times New Roman" w:cs="Times New Roman" w:hint="eastAsia"/>
          <w:bCs/>
          <w:iCs/>
          <w:color w:val="000000" w:themeColor="text1"/>
          <w:sz w:val="24"/>
          <w:szCs w:val="24"/>
        </w:rPr>
        <w:t>ę</w:t>
      </w:r>
      <w:r w:rsidR="00E36DC6" w:rsidRPr="00E36DC6">
        <w:rPr>
          <w:rFonts w:ascii="Times New Roman" w:hAnsi="Times New Roman" w:cs="Times New Roman"/>
          <w:bCs/>
          <w:iCs/>
          <w:color w:val="000000" w:themeColor="text1"/>
          <w:sz w:val="24"/>
          <w:szCs w:val="24"/>
        </w:rPr>
        <w:t xml:space="preserve"> przekroczenia, okre</w:t>
      </w:r>
      <w:r w:rsidR="00E36DC6" w:rsidRPr="00E36DC6">
        <w:rPr>
          <w:rFonts w:ascii="Times New Roman" w:hAnsi="Times New Roman" w:cs="Times New Roman" w:hint="eastAsia"/>
          <w:bCs/>
          <w:iCs/>
          <w:color w:val="000000" w:themeColor="text1"/>
          <w:sz w:val="24"/>
          <w:szCs w:val="24"/>
        </w:rPr>
        <w:t>ś</w:t>
      </w:r>
      <w:r w:rsidR="00E36DC6" w:rsidRPr="00E36DC6">
        <w:rPr>
          <w:rFonts w:ascii="Times New Roman" w:hAnsi="Times New Roman" w:cs="Times New Roman"/>
          <w:bCs/>
          <w:iCs/>
          <w:color w:val="000000" w:themeColor="text1"/>
          <w:sz w:val="24"/>
          <w:szCs w:val="24"/>
        </w:rPr>
        <w:t>laj</w:t>
      </w:r>
      <w:r w:rsidR="00E36DC6" w:rsidRPr="00E36DC6">
        <w:rPr>
          <w:rFonts w:ascii="Times New Roman" w:hAnsi="Times New Roman" w:cs="Times New Roman" w:hint="eastAsia"/>
          <w:bCs/>
          <w:iCs/>
          <w:color w:val="000000" w:themeColor="text1"/>
          <w:sz w:val="24"/>
          <w:szCs w:val="24"/>
        </w:rPr>
        <w:t>ą</w:t>
      </w:r>
      <w:r w:rsidR="00E36DC6" w:rsidRPr="00E36DC6">
        <w:rPr>
          <w:rFonts w:ascii="Times New Roman" w:hAnsi="Times New Roman" w:cs="Times New Roman"/>
          <w:bCs/>
          <w:iCs/>
          <w:color w:val="000000" w:themeColor="text1"/>
          <w:sz w:val="24"/>
          <w:szCs w:val="24"/>
        </w:rPr>
        <w:t>c zakres ogranicze</w:t>
      </w:r>
      <w:r w:rsidR="00E36DC6" w:rsidRPr="00E36DC6">
        <w:rPr>
          <w:rFonts w:ascii="Times New Roman" w:hAnsi="Times New Roman" w:cs="Times New Roman" w:hint="eastAsia"/>
          <w:bCs/>
          <w:iCs/>
          <w:color w:val="000000" w:themeColor="text1"/>
          <w:sz w:val="24"/>
          <w:szCs w:val="24"/>
        </w:rPr>
        <w:t>ń</w:t>
      </w:r>
      <w:r w:rsidR="00E36DC6" w:rsidRPr="00E36DC6">
        <w:rPr>
          <w:rFonts w:ascii="Times New Roman" w:hAnsi="Times New Roman" w:cs="Times New Roman"/>
          <w:bCs/>
          <w:iCs/>
          <w:color w:val="000000" w:themeColor="text1"/>
          <w:sz w:val="24"/>
          <w:szCs w:val="24"/>
        </w:rPr>
        <w:t xml:space="preserve"> dla poszczeg</w:t>
      </w:r>
      <w:r w:rsidR="00E36DC6" w:rsidRPr="00E36DC6">
        <w:rPr>
          <w:rFonts w:ascii="Times New Roman" w:hAnsi="Times New Roman" w:cs="Times New Roman" w:hint="eastAsia"/>
          <w:bCs/>
          <w:iCs/>
          <w:color w:val="000000" w:themeColor="text1"/>
          <w:sz w:val="24"/>
          <w:szCs w:val="24"/>
        </w:rPr>
        <w:t>ó</w:t>
      </w:r>
      <w:r w:rsidR="00E36DC6" w:rsidRPr="00E36DC6">
        <w:rPr>
          <w:rFonts w:ascii="Times New Roman" w:hAnsi="Times New Roman" w:cs="Times New Roman"/>
          <w:bCs/>
          <w:iCs/>
          <w:color w:val="000000" w:themeColor="text1"/>
          <w:sz w:val="24"/>
          <w:szCs w:val="24"/>
        </w:rPr>
        <w:t>lnych zada</w:t>
      </w:r>
      <w:r w:rsidR="00E36DC6" w:rsidRPr="00E36DC6">
        <w:rPr>
          <w:rFonts w:ascii="Times New Roman" w:hAnsi="Times New Roman" w:cs="Times New Roman" w:hint="eastAsia"/>
          <w:bCs/>
          <w:iCs/>
          <w:color w:val="000000" w:themeColor="text1"/>
          <w:sz w:val="24"/>
          <w:szCs w:val="24"/>
        </w:rPr>
        <w:t>ń</w:t>
      </w:r>
      <w:r w:rsidR="00E36DC6" w:rsidRPr="00E36DC6">
        <w:rPr>
          <w:rFonts w:ascii="Times New Roman" w:hAnsi="Times New Roman" w:cs="Times New Roman"/>
          <w:bCs/>
          <w:iCs/>
          <w:color w:val="000000" w:themeColor="text1"/>
          <w:sz w:val="24"/>
          <w:szCs w:val="24"/>
        </w:rPr>
        <w:t xml:space="preserve"> realizowanych na podstawie ustawy</w:t>
      </w:r>
      <w:r w:rsidR="008766AB" w:rsidRPr="00F51CD8">
        <w:rPr>
          <w:rFonts w:ascii="Times New Roman" w:hAnsi="Times New Roman" w:cs="Times New Roman"/>
          <w:bCs/>
          <w:iCs/>
          <w:color w:val="000000" w:themeColor="text1"/>
          <w:sz w:val="24"/>
          <w:szCs w:val="24"/>
        </w:rPr>
        <w:t>.</w:t>
      </w:r>
      <w:r w:rsidR="008766AB">
        <w:rPr>
          <w:rFonts w:ascii="Times New Roman" w:hAnsi="Times New Roman" w:cs="Times New Roman"/>
          <w:bCs/>
          <w:iCs/>
          <w:color w:val="000000" w:themeColor="text1"/>
          <w:sz w:val="24"/>
          <w:szCs w:val="24"/>
        </w:rPr>
        <w:t xml:space="preserve"> Szczegółowy podział wydatków </w:t>
      </w:r>
      <w:r w:rsidR="008766AB" w:rsidRPr="00EB10F9">
        <w:rPr>
          <w:rFonts w:ascii="Times New Roman" w:hAnsi="Times New Roman" w:cs="Times New Roman"/>
          <w:bCs/>
          <w:iCs/>
          <w:color w:val="000000" w:themeColor="text1"/>
          <w:sz w:val="24"/>
          <w:szCs w:val="24"/>
        </w:rPr>
        <w:t>w latach 2025–2034</w:t>
      </w:r>
      <w:r w:rsidR="008766AB">
        <w:rPr>
          <w:rFonts w:ascii="Times New Roman" w:hAnsi="Times New Roman" w:cs="Times New Roman"/>
          <w:bCs/>
          <w:iCs/>
          <w:color w:val="000000" w:themeColor="text1"/>
          <w:sz w:val="24"/>
          <w:szCs w:val="24"/>
        </w:rPr>
        <w:t>:</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w:t>
      </w:r>
      <w:r w:rsidRPr="00F51CD8">
        <w:rPr>
          <w:rFonts w:ascii="Times New Roman" w:hAnsi="Times New Roman" w:cs="Times New Roman"/>
          <w:bCs/>
          <w:iCs/>
          <w:color w:val="000000" w:themeColor="text1"/>
          <w:sz w:val="24"/>
          <w:szCs w:val="24"/>
        </w:rPr>
        <w:tab/>
        <w:t>2025 r. – 32,160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2)</w:t>
      </w:r>
      <w:r w:rsidRPr="00F51CD8">
        <w:rPr>
          <w:rFonts w:ascii="Times New Roman" w:hAnsi="Times New Roman" w:cs="Times New Roman"/>
          <w:bCs/>
          <w:iCs/>
          <w:color w:val="000000" w:themeColor="text1"/>
          <w:sz w:val="24"/>
          <w:szCs w:val="24"/>
        </w:rPr>
        <w:tab/>
        <w:t>2026 r. – 4,730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lastRenderedPageBreak/>
        <w:t>3)</w:t>
      </w:r>
      <w:r w:rsidRPr="00F51CD8">
        <w:rPr>
          <w:rFonts w:ascii="Times New Roman" w:hAnsi="Times New Roman" w:cs="Times New Roman"/>
          <w:bCs/>
          <w:iCs/>
          <w:color w:val="000000" w:themeColor="text1"/>
          <w:sz w:val="24"/>
          <w:szCs w:val="24"/>
        </w:rPr>
        <w:tab/>
        <w:t>2027 r. – 2,930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4)</w:t>
      </w:r>
      <w:r w:rsidRPr="00F51CD8">
        <w:rPr>
          <w:rFonts w:ascii="Times New Roman" w:hAnsi="Times New Roman" w:cs="Times New Roman"/>
          <w:bCs/>
          <w:iCs/>
          <w:color w:val="000000" w:themeColor="text1"/>
          <w:sz w:val="24"/>
          <w:szCs w:val="24"/>
        </w:rPr>
        <w:tab/>
        <w:t>2028 r. – 3,830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5)</w:t>
      </w:r>
      <w:r w:rsidRPr="00F51CD8">
        <w:rPr>
          <w:rFonts w:ascii="Times New Roman" w:hAnsi="Times New Roman" w:cs="Times New Roman"/>
          <w:bCs/>
          <w:iCs/>
          <w:color w:val="000000" w:themeColor="text1"/>
          <w:sz w:val="24"/>
          <w:szCs w:val="24"/>
        </w:rPr>
        <w:tab/>
        <w:t>2029 r. – 7,560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6)</w:t>
      </w:r>
      <w:r w:rsidRPr="00F51CD8">
        <w:rPr>
          <w:rFonts w:ascii="Times New Roman" w:hAnsi="Times New Roman" w:cs="Times New Roman"/>
          <w:bCs/>
          <w:iCs/>
          <w:color w:val="000000" w:themeColor="text1"/>
          <w:sz w:val="24"/>
          <w:szCs w:val="24"/>
        </w:rPr>
        <w:tab/>
        <w:t>2030 r. – 6,830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7)</w:t>
      </w:r>
      <w:r w:rsidRPr="00F51CD8">
        <w:rPr>
          <w:rFonts w:ascii="Times New Roman" w:hAnsi="Times New Roman" w:cs="Times New Roman"/>
          <w:bCs/>
          <w:iCs/>
          <w:color w:val="000000" w:themeColor="text1"/>
          <w:sz w:val="24"/>
          <w:szCs w:val="24"/>
        </w:rPr>
        <w:tab/>
        <w:t>2031 r. – 37,130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8)</w:t>
      </w:r>
      <w:r w:rsidRPr="00F51CD8">
        <w:rPr>
          <w:rFonts w:ascii="Times New Roman" w:hAnsi="Times New Roman" w:cs="Times New Roman"/>
          <w:bCs/>
          <w:iCs/>
          <w:color w:val="000000" w:themeColor="text1"/>
          <w:sz w:val="24"/>
          <w:szCs w:val="24"/>
        </w:rPr>
        <w:tab/>
        <w:t>2032 r. – 3,930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9)</w:t>
      </w:r>
      <w:r w:rsidRPr="00F51CD8">
        <w:rPr>
          <w:rFonts w:ascii="Times New Roman" w:hAnsi="Times New Roman" w:cs="Times New Roman"/>
          <w:bCs/>
          <w:iCs/>
          <w:color w:val="000000" w:themeColor="text1"/>
          <w:sz w:val="24"/>
          <w:szCs w:val="24"/>
        </w:rPr>
        <w:tab/>
        <w:t>2033 r. – 3,930 mln zł;</w:t>
      </w:r>
    </w:p>
    <w:p w:rsidR="00F51CD8" w:rsidRPr="00F51CD8" w:rsidRDefault="00F51CD8" w:rsidP="00F51CD8">
      <w:pPr>
        <w:spacing w:line="360" w:lineRule="auto"/>
        <w:ind w:firstLine="708"/>
        <w:jc w:val="both"/>
        <w:rPr>
          <w:rFonts w:ascii="Times New Roman" w:hAnsi="Times New Roman" w:cs="Times New Roman"/>
          <w:bCs/>
          <w:iCs/>
          <w:color w:val="000000" w:themeColor="text1"/>
          <w:sz w:val="24"/>
          <w:szCs w:val="24"/>
        </w:rPr>
      </w:pPr>
      <w:r w:rsidRPr="00F51CD8">
        <w:rPr>
          <w:rFonts w:ascii="Times New Roman" w:hAnsi="Times New Roman" w:cs="Times New Roman"/>
          <w:bCs/>
          <w:iCs/>
          <w:color w:val="000000" w:themeColor="text1"/>
          <w:sz w:val="24"/>
          <w:szCs w:val="24"/>
        </w:rPr>
        <w:t>10)</w:t>
      </w:r>
      <w:r w:rsidRPr="00F51CD8">
        <w:rPr>
          <w:rFonts w:ascii="Times New Roman" w:hAnsi="Times New Roman" w:cs="Times New Roman"/>
          <w:bCs/>
          <w:iCs/>
          <w:color w:val="000000" w:themeColor="text1"/>
          <w:sz w:val="24"/>
          <w:szCs w:val="24"/>
        </w:rPr>
        <w:tab/>
        <w:t>2034 r. – 5,530 mln zł;</w:t>
      </w:r>
    </w:p>
    <w:p w:rsidR="000A41E5" w:rsidRPr="007C77BA" w:rsidRDefault="00A94BA9" w:rsidP="00D2531A">
      <w:pPr>
        <w:spacing w:before="120" w:line="360" w:lineRule="auto"/>
        <w:ind w:firstLine="709"/>
        <w:jc w:val="both"/>
        <w:rPr>
          <w:rFonts w:ascii="Times New Roman" w:hAnsi="Times New Roman" w:cs="Times New Roman"/>
          <w:bCs/>
          <w:color w:val="000000" w:themeColor="text1"/>
          <w:sz w:val="24"/>
          <w:szCs w:val="24"/>
        </w:rPr>
      </w:pPr>
      <w:r w:rsidRPr="007C77BA">
        <w:rPr>
          <w:rFonts w:ascii="Times New Roman" w:hAnsi="Times New Roman" w:cs="Times New Roman"/>
          <w:bCs/>
          <w:color w:val="000000" w:themeColor="text1"/>
          <w:sz w:val="24"/>
          <w:szCs w:val="24"/>
        </w:rPr>
        <w:t>W przepisie końcowym wskazano, że ustawa wejdzie w życie z dniem określonym w decyzji Komisji Europejskiej, zgodnie z art. 66 ust. 1 rozporządzenia Parlamentu Europejskiego i Rady (UE) 2017/2226 z dnia 3</w:t>
      </w:r>
      <w:r w:rsidR="007C77BA">
        <w:rPr>
          <w:rFonts w:ascii="Times New Roman" w:hAnsi="Times New Roman" w:cs="Times New Roman"/>
          <w:bCs/>
          <w:color w:val="000000" w:themeColor="text1"/>
          <w:sz w:val="24"/>
          <w:szCs w:val="24"/>
        </w:rPr>
        <w:t>0 listopada 2017 r.</w:t>
      </w:r>
      <w:r w:rsidRPr="007C77BA">
        <w:rPr>
          <w:rFonts w:ascii="Times New Roman" w:hAnsi="Times New Roman" w:cs="Times New Roman"/>
          <w:bCs/>
          <w:color w:val="000000" w:themeColor="text1"/>
          <w:sz w:val="24"/>
          <w:szCs w:val="24"/>
        </w:rPr>
        <w:t xml:space="preserve"> ustanawiającego system wjazdu/wyjazdu (EES) w celu rejestrowania danych dotyczących wjazdu i wyjazdu obywateli państw trzecich przekraczających granice zewnętrzne państw członkowskich i danych dotyczących odmowy wjazdu w odniesieniu do takich obywateli oraz określającego warunki dostępu do EES na potrzeby ochrony porządku publicznego i zmieniającego konwencję wykonawczą do układu z Schengen i rozporządzenia (WE) nr 767/2008 i (UE) nr 1077/2011, </w:t>
      </w:r>
      <w:r w:rsidR="000A41E5" w:rsidRPr="007C77BA">
        <w:rPr>
          <w:rFonts w:ascii="Times New Roman" w:hAnsi="Times New Roman" w:cs="Times New Roman"/>
          <w:bCs/>
          <w:color w:val="000000" w:themeColor="text1"/>
          <w:sz w:val="24"/>
          <w:szCs w:val="24"/>
        </w:rPr>
        <w:t>z wyjątkiem:</w:t>
      </w:r>
    </w:p>
    <w:p w:rsidR="00772C3C" w:rsidRPr="001B0139" w:rsidRDefault="000A41E5" w:rsidP="001B0139">
      <w:pPr>
        <w:pStyle w:val="ARTartustawynprozporzdzenia"/>
        <w:numPr>
          <w:ilvl w:val="0"/>
          <w:numId w:val="16"/>
        </w:numPr>
        <w:spacing w:before="80"/>
        <w:ind w:left="714" w:hanging="357"/>
        <w:rPr>
          <w:rFonts w:ascii="Times New Roman" w:hAnsi="Times New Roman" w:cs="Times New Roman"/>
          <w:bCs/>
          <w:color w:val="000000" w:themeColor="text1"/>
          <w:szCs w:val="24"/>
        </w:rPr>
      </w:pPr>
      <w:r w:rsidRPr="001B0139">
        <w:rPr>
          <w:rFonts w:ascii="Times New Roman" w:hAnsi="Times New Roman" w:cs="Times New Roman"/>
          <w:bCs/>
          <w:color w:val="000000" w:themeColor="text1"/>
          <w:szCs w:val="24"/>
        </w:rPr>
        <w:t xml:space="preserve">art. 3 ust. 1 pkt </w:t>
      </w:r>
      <w:r w:rsidR="00437814">
        <w:rPr>
          <w:rFonts w:ascii="Times New Roman" w:hAnsi="Times New Roman" w:cs="Times New Roman"/>
          <w:bCs/>
          <w:color w:val="000000" w:themeColor="text1"/>
          <w:szCs w:val="24"/>
        </w:rPr>
        <w:t>8</w:t>
      </w:r>
      <w:r w:rsidRPr="001B0139">
        <w:rPr>
          <w:rFonts w:ascii="Times New Roman" w:hAnsi="Times New Roman" w:cs="Times New Roman"/>
          <w:bCs/>
          <w:color w:val="000000" w:themeColor="text1"/>
          <w:szCs w:val="24"/>
        </w:rPr>
        <w:t>, który wejdzie w życie z dniem określonym w decyzji Komisji Europejskiej, zgodnie z art. 88 rozporządzenia Parlam</w:t>
      </w:r>
      <w:r w:rsidR="00772C3C" w:rsidRPr="001B0139">
        <w:rPr>
          <w:rFonts w:ascii="Times New Roman" w:hAnsi="Times New Roman" w:cs="Times New Roman"/>
          <w:bCs/>
          <w:color w:val="000000" w:themeColor="text1"/>
          <w:szCs w:val="24"/>
        </w:rPr>
        <w:t xml:space="preserve">entu Europejskiego i Rady (UE) </w:t>
      </w:r>
      <w:r w:rsidRPr="001B0139">
        <w:rPr>
          <w:rFonts w:ascii="Times New Roman" w:hAnsi="Times New Roman" w:cs="Times New Roman"/>
          <w:bCs/>
          <w:color w:val="000000" w:themeColor="text1"/>
          <w:szCs w:val="24"/>
        </w:rPr>
        <w:t>2018/1240 z dnia 12 września 2018 r. ustanawiającego europejski sys</w:t>
      </w:r>
      <w:r w:rsidR="00772C3C" w:rsidRPr="001B0139">
        <w:rPr>
          <w:rFonts w:ascii="Times New Roman" w:hAnsi="Times New Roman" w:cs="Times New Roman"/>
          <w:bCs/>
          <w:color w:val="000000" w:themeColor="text1"/>
          <w:szCs w:val="24"/>
        </w:rPr>
        <w:t xml:space="preserve">tem informacji </w:t>
      </w:r>
      <w:r w:rsidRPr="001B0139">
        <w:rPr>
          <w:rFonts w:ascii="Times New Roman" w:hAnsi="Times New Roman" w:cs="Times New Roman"/>
          <w:bCs/>
          <w:color w:val="000000" w:themeColor="text1"/>
          <w:szCs w:val="24"/>
        </w:rPr>
        <w:t>o</w:t>
      </w:r>
      <w:r w:rsidR="00772C3C" w:rsidRPr="001B0139">
        <w:rPr>
          <w:rFonts w:ascii="Times New Roman" w:hAnsi="Times New Roman" w:cs="Times New Roman"/>
          <w:bCs/>
          <w:color w:val="000000" w:themeColor="text1"/>
          <w:szCs w:val="24"/>
        </w:rPr>
        <w:t> </w:t>
      </w:r>
      <w:r w:rsidRPr="001B0139">
        <w:rPr>
          <w:rFonts w:ascii="Times New Roman" w:hAnsi="Times New Roman" w:cs="Times New Roman"/>
          <w:bCs/>
          <w:color w:val="000000" w:themeColor="text1"/>
          <w:szCs w:val="24"/>
        </w:rPr>
        <w:t>podróży oraz zezwoleń na podróż (ETIAS) i zmi</w:t>
      </w:r>
      <w:r w:rsidR="00772C3C" w:rsidRPr="001B0139">
        <w:rPr>
          <w:rFonts w:ascii="Times New Roman" w:hAnsi="Times New Roman" w:cs="Times New Roman"/>
          <w:bCs/>
          <w:color w:val="000000" w:themeColor="text1"/>
          <w:szCs w:val="24"/>
        </w:rPr>
        <w:t xml:space="preserve">eniającego rozporządzenia (UE) </w:t>
      </w:r>
      <w:r w:rsidRPr="001B0139">
        <w:rPr>
          <w:rFonts w:ascii="Times New Roman" w:hAnsi="Times New Roman" w:cs="Times New Roman"/>
          <w:bCs/>
          <w:color w:val="000000" w:themeColor="text1"/>
          <w:szCs w:val="24"/>
        </w:rPr>
        <w:t>nr</w:t>
      </w:r>
      <w:r w:rsidR="00772C3C" w:rsidRPr="001B0139">
        <w:rPr>
          <w:rFonts w:ascii="Times New Roman" w:hAnsi="Times New Roman" w:cs="Times New Roman"/>
          <w:bCs/>
          <w:color w:val="000000" w:themeColor="text1"/>
          <w:szCs w:val="24"/>
        </w:rPr>
        <w:t> </w:t>
      </w:r>
      <w:r w:rsidRPr="001B0139">
        <w:rPr>
          <w:rFonts w:ascii="Times New Roman" w:hAnsi="Times New Roman" w:cs="Times New Roman"/>
          <w:bCs/>
          <w:color w:val="000000" w:themeColor="text1"/>
          <w:szCs w:val="24"/>
        </w:rPr>
        <w:t>1077/2011, (UE) nr 515/2014, (UE) 2016/399, (UE) 2016/1624 i (UE) 2017/2226 (Dz. Urz. UE L 236 z 19.09.2018, str. 1)</w:t>
      </w:r>
      <w:r w:rsidR="00772C3C" w:rsidRPr="001B0139">
        <w:rPr>
          <w:rFonts w:ascii="Times New Roman" w:hAnsi="Times New Roman" w:cs="Times New Roman"/>
          <w:bCs/>
          <w:color w:val="000000" w:themeColor="text1"/>
          <w:szCs w:val="24"/>
        </w:rPr>
        <w:t>;</w:t>
      </w:r>
    </w:p>
    <w:p w:rsidR="000A41E5" w:rsidRPr="001B0139" w:rsidRDefault="00772C3C" w:rsidP="001B0139">
      <w:pPr>
        <w:pStyle w:val="ARTartustawynprozporzdzenia"/>
        <w:numPr>
          <w:ilvl w:val="0"/>
          <w:numId w:val="16"/>
        </w:numPr>
        <w:spacing w:before="80"/>
        <w:ind w:left="714" w:hanging="357"/>
        <w:rPr>
          <w:rFonts w:ascii="Times New Roman" w:hAnsi="Times New Roman" w:cs="Times New Roman"/>
          <w:bCs/>
          <w:color w:val="000000" w:themeColor="text1"/>
          <w:szCs w:val="24"/>
        </w:rPr>
      </w:pPr>
      <w:r w:rsidRPr="001B0139">
        <w:rPr>
          <w:rFonts w:ascii="Times New Roman" w:hAnsi="Times New Roman" w:cs="Times New Roman"/>
          <w:bCs/>
          <w:color w:val="000000" w:themeColor="text1"/>
          <w:szCs w:val="24"/>
        </w:rPr>
        <w:lastRenderedPageBreak/>
        <w:t xml:space="preserve">art. 19 pkt 1 w zakresie dodawanego ust. 1ab </w:t>
      </w:r>
      <w:r w:rsidR="00437814">
        <w:rPr>
          <w:rFonts w:ascii="Times New Roman" w:hAnsi="Times New Roman" w:cs="Times New Roman"/>
          <w:bCs/>
          <w:color w:val="000000" w:themeColor="text1"/>
          <w:szCs w:val="24"/>
        </w:rPr>
        <w:t xml:space="preserve">w </w:t>
      </w:r>
      <w:r w:rsidRPr="001B0139">
        <w:rPr>
          <w:rFonts w:ascii="Times New Roman" w:hAnsi="Times New Roman" w:cs="Times New Roman"/>
          <w:bCs/>
          <w:color w:val="000000" w:themeColor="text1"/>
          <w:szCs w:val="24"/>
        </w:rPr>
        <w:t>art. 20 ustawy z dnia 6 kwietnia 1990 r. o Policji w części dotyczącej dostępu do systemu ECRIS-TCN, który wchodzi w życie z dniem określonym w decyzji Komisji Europejskiej, zgodnie z art. 35 ust. 5 rozporządzenia Parlamentu Europejskiego i Rady (UE) 2019/816 z dnia 17 kwietnia 2019 r. ustanawiającego scentralizowany system służący do ustalania państw członkowskich posiadających informacje o wyrokach skazujących wydanych wobec obywateli państw trzecich i bezpaństwowców (ECRIS-TCN) na potrzeby uzupełnienia europejskiego systemu przekazywania informacji z rejestrów karnych oraz zmieniając</w:t>
      </w:r>
      <w:r w:rsidR="007C77BA">
        <w:rPr>
          <w:rFonts w:ascii="Times New Roman" w:hAnsi="Times New Roman" w:cs="Times New Roman"/>
          <w:bCs/>
          <w:color w:val="000000" w:themeColor="text1"/>
          <w:szCs w:val="24"/>
        </w:rPr>
        <w:t>e rozporządzenie (UE) 2018/1726</w:t>
      </w:r>
      <w:r w:rsidR="000A41E5" w:rsidRPr="001B0139">
        <w:rPr>
          <w:rFonts w:ascii="Times New Roman" w:hAnsi="Times New Roman" w:cs="Times New Roman"/>
          <w:bCs/>
          <w:color w:val="000000" w:themeColor="text1"/>
          <w:szCs w:val="24"/>
        </w:rPr>
        <w:t xml:space="preserve"> oraz</w:t>
      </w:r>
    </w:p>
    <w:p w:rsidR="00A94BA9" w:rsidRPr="001B0139" w:rsidRDefault="000A41E5" w:rsidP="001B0139">
      <w:pPr>
        <w:pStyle w:val="ARTartustawynprozporzdzenia"/>
        <w:numPr>
          <w:ilvl w:val="0"/>
          <w:numId w:val="16"/>
        </w:numPr>
        <w:spacing w:before="80"/>
        <w:ind w:left="714" w:hanging="357"/>
        <w:rPr>
          <w:rFonts w:ascii="Times New Roman" w:hAnsi="Times New Roman" w:cs="Times New Roman"/>
          <w:bCs/>
          <w:color w:val="000000" w:themeColor="text1"/>
          <w:szCs w:val="24"/>
        </w:rPr>
      </w:pPr>
      <w:r w:rsidRPr="001B0139">
        <w:rPr>
          <w:rFonts w:ascii="Times New Roman" w:hAnsi="Times New Roman" w:cs="Times New Roman"/>
          <w:color w:val="000000" w:themeColor="text1"/>
          <w:szCs w:val="24"/>
        </w:rPr>
        <w:t>art. 6 ust. 2 pkt 1 i 3, art. 8, art. 12, art. 15–17 i art. 18 ust. 1, które wejdą</w:t>
      </w:r>
      <w:r w:rsidR="00772C3C" w:rsidRPr="001B0139">
        <w:rPr>
          <w:rFonts w:ascii="Times New Roman" w:hAnsi="Times New Roman" w:cs="Times New Roman"/>
          <w:color w:val="000000" w:themeColor="text1"/>
          <w:szCs w:val="24"/>
        </w:rPr>
        <w:t xml:space="preserve"> w życie po </w:t>
      </w:r>
      <w:r w:rsidRPr="001B0139">
        <w:rPr>
          <w:rFonts w:ascii="Times New Roman" w:hAnsi="Times New Roman" w:cs="Times New Roman"/>
          <w:color w:val="000000" w:themeColor="text1"/>
          <w:szCs w:val="24"/>
        </w:rPr>
        <w:t>upływie 14 dni od dnia ogłoszenia.</w:t>
      </w:r>
    </w:p>
    <w:p w:rsidR="00A94BA9" w:rsidRPr="001B0139" w:rsidRDefault="00A94BA9" w:rsidP="00772C3C">
      <w:pPr>
        <w:pStyle w:val="CZWSPPKTczwsplnapunktw"/>
        <w:spacing w:before="120"/>
        <w:ind w:firstLine="709"/>
        <w:rPr>
          <w:rFonts w:ascii="Times New Roman" w:hAnsi="Times New Roman" w:cs="Times New Roman"/>
          <w:bCs w:val="0"/>
          <w:color w:val="000000" w:themeColor="text1"/>
          <w:szCs w:val="24"/>
        </w:rPr>
      </w:pPr>
      <w:r w:rsidRPr="001B0139">
        <w:rPr>
          <w:rFonts w:ascii="Times New Roman" w:hAnsi="Times New Roman" w:cs="Times New Roman"/>
          <w:bCs w:val="0"/>
          <w:color w:val="000000" w:themeColor="text1"/>
          <w:szCs w:val="24"/>
        </w:rPr>
        <w:t>Projektowana ustawa nie będzie mieć wpływ</w:t>
      </w:r>
      <w:r w:rsidR="000A41E5" w:rsidRPr="001B0139">
        <w:rPr>
          <w:rFonts w:ascii="Times New Roman" w:hAnsi="Times New Roman" w:cs="Times New Roman"/>
          <w:bCs w:val="0"/>
          <w:color w:val="000000" w:themeColor="text1"/>
          <w:szCs w:val="24"/>
        </w:rPr>
        <w:t>u</w:t>
      </w:r>
      <w:r w:rsidRPr="001B0139">
        <w:rPr>
          <w:rFonts w:ascii="Times New Roman" w:hAnsi="Times New Roman" w:cs="Times New Roman"/>
          <w:bCs w:val="0"/>
          <w:color w:val="000000" w:themeColor="text1"/>
          <w:szCs w:val="24"/>
        </w:rPr>
        <w:t xml:space="preserve"> na konkurencyjność gospodarki </w:t>
      </w:r>
      <w:r w:rsidR="00772C3C" w:rsidRPr="001B0139">
        <w:rPr>
          <w:rFonts w:ascii="Times New Roman" w:hAnsi="Times New Roman" w:cs="Times New Roman"/>
          <w:bCs w:val="0"/>
          <w:color w:val="000000" w:themeColor="text1"/>
          <w:szCs w:val="24"/>
        </w:rPr>
        <w:t>i </w:t>
      </w:r>
      <w:r w:rsidRPr="001B0139">
        <w:rPr>
          <w:rFonts w:ascii="Times New Roman" w:hAnsi="Times New Roman" w:cs="Times New Roman"/>
          <w:bCs w:val="0"/>
          <w:color w:val="000000" w:themeColor="text1"/>
          <w:szCs w:val="24"/>
        </w:rPr>
        <w:t xml:space="preserve">przedsiębiorczość, w tym na funkcjonowanie przedsiębiorców. </w:t>
      </w:r>
    </w:p>
    <w:p w:rsidR="00A94BA9" w:rsidRPr="001B0139" w:rsidRDefault="00A94BA9" w:rsidP="00A94BA9">
      <w:pPr>
        <w:pStyle w:val="text-justify"/>
        <w:spacing w:before="0" w:beforeAutospacing="0" w:after="0" w:afterAutospacing="0" w:line="360" w:lineRule="auto"/>
        <w:ind w:firstLine="708"/>
        <w:jc w:val="both"/>
        <w:rPr>
          <w:color w:val="000000" w:themeColor="text1"/>
        </w:rPr>
      </w:pPr>
      <w:r w:rsidRPr="001B0139">
        <w:rPr>
          <w:color w:val="000000" w:themeColor="text1"/>
        </w:rPr>
        <w:t>Projekt zosta</w:t>
      </w:r>
      <w:r w:rsidR="000D4860" w:rsidRPr="001B0139">
        <w:rPr>
          <w:color w:val="000000" w:themeColor="text1"/>
        </w:rPr>
        <w:t>ł</w:t>
      </w:r>
      <w:r w:rsidRPr="001B0139">
        <w:rPr>
          <w:color w:val="000000" w:themeColor="text1"/>
        </w:rPr>
        <w:t xml:space="preserve"> udostępniony w Biuletynie Informacji Publicznej na stronie internetowej Rządowego Centrum Legislacji w zakładce „Rządowy Proces Legislacyjny”, zgodnie z § 52 uchwały nr 190 Rady Ministrów z dnia 29 października 2013 r. – Regulamin pracy Rady Ministrów </w:t>
      </w:r>
      <w:r w:rsidR="008E3634" w:rsidRPr="001B0139">
        <w:rPr>
          <w:color w:val="000000" w:themeColor="text1"/>
        </w:rPr>
        <w:t xml:space="preserve">(M.P. z 2022 r. poz. 348) </w:t>
      </w:r>
      <w:r w:rsidRPr="001B0139">
        <w:rPr>
          <w:color w:val="000000" w:themeColor="text1"/>
        </w:rPr>
        <w:t xml:space="preserve">oraz stosownie do wymogów art. 5 ustawy </w:t>
      </w:r>
      <w:r w:rsidR="00772C3C" w:rsidRPr="001B0139">
        <w:rPr>
          <w:color w:val="000000" w:themeColor="text1"/>
        </w:rPr>
        <w:t>z </w:t>
      </w:r>
      <w:r w:rsidRPr="001B0139">
        <w:rPr>
          <w:color w:val="000000" w:themeColor="text1"/>
        </w:rPr>
        <w:t>dnia 7 lipca 2005 r. o działalności lobbingowej w procesie stanowienia prawa (Dz.</w:t>
      </w:r>
      <w:r w:rsidR="00772C3C" w:rsidRPr="001B0139">
        <w:rPr>
          <w:color w:val="000000" w:themeColor="text1"/>
        </w:rPr>
        <w:t> </w:t>
      </w:r>
      <w:r w:rsidRPr="001B0139">
        <w:rPr>
          <w:color w:val="000000" w:themeColor="text1"/>
        </w:rPr>
        <w:t>U. z</w:t>
      </w:r>
      <w:r w:rsidR="00772C3C" w:rsidRPr="001B0139">
        <w:rPr>
          <w:color w:val="000000" w:themeColor="text1"/>
        </w:rPr>
        <w:t> </w:t>
      </w:r>
      <w:r w:rsidRPr="001B0139">
        <w:rPr>
          <w:color w:val="000000" w:themeColor="text1"/>
        </w:rPr>
        <w:t>2017 r. poz. 248).</w:t>
      </w:r>
      <w:r w:rsidR="00DF064D">
        <w:rPr>
          <w:color w:val="000000" w:themeColor="text1"/>
        </w:rPr>
        <w:t xml:space="preserve"> W trybie przepisów o działalności lobbingowej w procesie stanowienia prawa żaden </w:t>
      </w:r>
      <w:r w:rsidR="00DF064D">
        <w:rPr>
          <w:color w:val="000000" w:themeColor="text1"/>
        </w:rPr>
        <w:br/>
        <w:t>z podmiotów nie zgłosił zainteresowania nad projektem.</w:t>
      </w:r>
    </w:p>
    <w:p w:rsidR="00A94BA9" w:rsidRPr="001B0139" w:rsidRDefault="00A94BA9" w:rsidP="00A94BA9">
      <w:pPr>
        <w:pStyle w:val="text-justify"/>
        <w:spacing w:before="0" w:beforeAutospacing="0" w:after="0" w:afterAutospacing="0" w:line="360" w:lineRule="auto"/>
        <w:ind w:firstLine="708"/>
        <w:jc w:val="both"/>
        <w:rPr>
          <w:color w:val="000000" w:themeColor="text1"/>
        </w:rPr>
      </w:pPr>
      <w:r w:rsidRPr="001B0139">
        <w:rPr>
          <w:color w:val="000000" w:themeColor="text1"/>
        </w:rPr>
        <w:t>Projektowany akt prawny nie podlega procedurze notyfikacji określonej w przepisach rozporządzenia Rady Ministrów z dnia 23 grudnia 2002 r. w sprawie sposobu funkcjonowania krajowego systemu notyfikacji norm i a</w:t>
      </w:r>
      <w:r w:rsidR="008E3634" w:rsidRPr="001B0139">
        <w:rPr>
          <w:color w:val="000000" w:themeColor="text1"/>
        </w:rPr>
        <w:t xml:space="preserve">któw prawnych (Dz. U. poz. 2039, </w:t>
      </w:r>
      <w:r w:rsidRPr="001B0139">
        <w:rPr>
          <w:color w:val="000000" w:themeColor="text1"/>
        </w:rPr>
        <w:t>z późn</w:t>
      </w:r>
      <w:r w:rsidR="00772C3C" w:rsidRPr="001B0139">
        <w:rPr>
          <w:color w:val="000000" w:themeColor="text1"/>
        </w:rPr>
        <w:t>.</w:t>
      </w:r>
      <w:r w:rsidRPr="001B0139">
        <w:rPr>
          <w:color w:val="000000" w:themeColor="text1"/>
        </w:rPr>
        <w:t xml:space="preserve"> zm.).</w:t>
      </w:r>
    </w:p>
    <w:p w:rsidR="00A94BA9" w:rsidRPr="001B0139" w:rsidRDefault="00A94BA9" w:rsidP="00A94BA9">
      <w:pPr>
        <w:pStyle w:val="text-justify"/>
        <w:spacing w:before="0" w:beforeAutospacing="0" w:after="0" w:afterAutospacing="0" w:line="360" w:lineRule="auto"/>
        <w:ind w:firstLine="708"/>
        <w:jc w:val="both"/>
        <w:rPr>
          <w:color w:val="000000" w:themeColor="text1"/>
        </w:rPr>
      </w:pPr>
      <w:r w:rsidRPr="001B0139">
        <w:rPr>
          <w:color w:val="000000" w:themeColor="text1"/>
        </w:rPr>
        <w:lastRenderedPageBreak/>
        <w:t>Projektowany akt prawny nie wymaga przedłożenia właściwym instytucjom i organom UE, w tym Europejskiemu Bankowi Centralnemu, w celu uzyskania opinii, dokonania powiadomienia, konsultacji albo uzgodnienia.</w:t>
      </w:r>
    </w:p>
    <w:p w:rsidR="00C20EB5" w:rsidRPr="001B0139" w:rsidRDefault="00A94BA9" w:rsidP="001B0139">
      <w:pPr>
        <w:pStyle w:val="CZWSPPKTczwsplnapunktw"/>
        <w:ind w:firstLine="708"/>
        <w:rPr>
          <w:rFonts w:ascii="Times New Roman" w:hAnsi="Times New Roman" w:cs="Times New Roman"/>
        </w:rPr>
      </w:pPr>
      <w:r w:rsidRPr="001B0139">
        <w:rPr>
          <w:rFonts w:ascii="Times New Roman" w:hAnsi="Times New Roman" w:cs="Times New Roman"/>
          <w:color w:val="000000" w:themeColor="text1"/>
          <w:szCs w:val="24"/>
        </w:rPr>
        <w:t>Projekt ustawy jest zgodny z prawem Unii Europejskiej.</w:t>
      </w:r>
    </w:p>
    <w:sectPr w:rsidR="00C20EB5" w:rsidRPr="001B0139">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506B5" w16cex:dateUtc="2024-07-19T13:37:00Z"/>
  <w16cex:commentExtensible w16cex:durableId="2A44FD1B" w16cex:dateUtc="2024-07-19T12:56:00Z"/>
  <w16cex:commentExtensible w16cex:durableId="2A44FCD1" w16cex:dateUtc="2024-07-19T12:55:00Z"/>
  <w16cex:commentExtensible w16cex:durableId="2A44FD33" w16cex:dateUtc="2024-07-19T12:56:00Z"/>
  <w16cex:commentExtensible w16cex:durableId="2A44FDAC" w16cex:dateUtc="2024-07-19T12:58:00Z"/>
  <w16cex:commentExtensible w16cex:durableId="2A44FDD3" w16cex:dateUtc="2024-07-1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20B1C" w16cid:durableId="2A4506B5"/>
  <w16cid:commentId w16cid:paraId="5D08C179" w16cid:durableId="2A44FD1B"/>
  <w16cid:commentId w16cid:paraId="3F439316" w16cid:durableId="2A44FCD1"/>
  <w16cid:commentId w16cid:paraId="15DEF224" w16cid:durableId="2A44FD33"/>
  <w16cid:commentId w16cid:paraId="2C8667FE" w16cid:durableId="2A44FDAC"/>
  <w16cid:commentId w16cid:paraId="4FBA208C" w16cid:durableId="2A44FD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FB0" w:rsidRDefault="00826FB0" w:rsidP="000B4FB4">
      <w:r>
        <w:separator/>
      </w:r>
    </w:p>
  </w:endnote>
  <w:endnote w:type="continuationSeparator" w:id="0">
    <w:p w:rsidR="00826FB0" w:rsidRDefault="00826FB0" w:rsidP="000B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09060"/>
      <w:docPartObj>
        <w:docPartGallery w:val="Page Numbers (Bottom of Page)"/>
        <w:docPartUnique/>
      </w:docPartObj>
    </w:sdtPr>
    <w:sdtEndPr/>
    <w:sdtContent>
      <w:p w:rsidR="00F51CD8" w:rsidRDefault="00F51CD8">
        <w:pPr>
          <w:pStyle w:val="Stopka"/>
          <w:jc w:val="center"/>
        </w:pPr>
        <w:r>
          <w:fldChar w:fldCharType="begin"/>
        </w:r>
        <w:r>
          <w:instrText>PAGE   \* MERGEFORMAT</w:instrText>
        </w:r>
        <w:r>
          <w:fldChar w:fldCharType="separate"/>
        </w:r>
        <w:r w:rsidR="00CA64F3">
          <w:rPr>
            <w:noProof/>
          </w:rPr>
          <w:t>2</w:t>
        </w:r>
        <w:r>
          <w:fldChar w:fldCharType="end"/>
        </w:r>
      </w:p>
    </w:sdtContent>
  </w:sdt>
  <w:p w:rsidR="00F51CD8" w:rsidRDefault="00F51C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FB0" w:rsidRDefault="00826FB0" w:rsidP="000B4FB4">
      <w:r>
        <w:separator/>
      </w:r>
    </w:p>
  </w:footnote>
  <w:footnote w:type="continuationSeparator" w:id="0">
    <w:p w:rsidR="00826FB0" w:rsidRDefault="00826FB0" w:rsidP="000B4FB4">
      <w:r>
        <w:continuationSeparator/>
      </w:r>
    </w:p>
  </w:footnote>
  <w:footnote w:id="1">
    <w:p w:rsidR="00F51CD8" w:rsidRPr="009A13B9" w:rsidRDefault="00F51CD8" w:rsidP="001C4A12">
      <w:pPr>
        <w:pStyle w:val="Tekstprzypisudolnego"/>
        <w:jc w:val="both"/>
      </w:pPr>
      <w:r>
        <w:rPr>
          <w:rStyle w:val="Odwoanieprzypisudolnego"/>
        </w:rPr>
        <w:footnoteRef/>
      </w:r>
      <w:r>
        <w:t xml:space="preserve"> </w:t>
      </w:r>
      <w:r w:rsidRPr="001B0139">
        <w:rPr>
          <w:rFonts w:ascii="Times New Roman" w:hAnsi="Times New Roman" w:cs="Times New Roman"/>
          <w:sz w:val="18"/>
          <w:szCs w:val="18"/>
        </w:rPr>
        <w:t>W związku z rozporządzeniem Parlamentu Europejskiego i Rady (UE) 2019/817 z dnia 20 maja 2019 r. w sprawie ustanowienia ram interoperacyjności systemów informacyjnych UE w obszarze granic i polityki wizowej oraz zmieniające rozporządzenia Parlamentu Europejskiego i Rady (WE) nr 767/2008, (UE) 2016/399, (UE) 2017/2226, (UE) 2018/1240, (UE) 2018/1726, (UE) 2018/1861 oraz decyzje Rady 2004/512/WE i 2008/633/WSiSW (Dz. Urz. UE L 135 z 22.05.2019, str. 27).</w:t>
      </w:r>
    </w:p>
    <w:p w:rsidR="00F51CD8" w:rsidRDefault="00F51CD8" w:rsidP="001C4A12">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C17"/>
    <w:multiLevelType w:val="hybridMultilevel"/>
    <w:tmpl w:val="BB648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11AD8"/>
    <w:multiLevelType w:val="hybridMultilevel"/>
    <w:tmpl w:val="03B6A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A253D"/>
    <w:multiLevelType w:val="hybridMultilevel"/>
    <w:tmpl w:val="995C02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FC6EE7"/>
    <w:multiLevelType w:val="hybridMultilevel"/>
    <w:tmpl w:val="A07C6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8D5277"/>
    <w:multiLevelType w:val="hybridMultilevel"/>
    <w:tmpl w:val="EBB89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B4F77"/>
    <w:multiLevelType w:val="hybridMultilevel"/>
    <w:tmpl w:val="76FAC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722805"/>
    <w:multiLevelType w:val="hybridMultilevel"/>
    <w:tmpl w:val="15965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12426"/>
    <w:multiLevelType w:val="hybridMultilevel"/>
    <w:tmpl w:val="16D68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023BF1"/>
    <w:multiLevelType w:val="hybridMultilevel"/>
    <w:tmpl w:val="93966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A0738D6"/>
    <w:multiLevelType w:val="hybridMultilevel"/>
    <w:tmpl w:val="5052C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7E1AEE"/>
    <w:multiLevelType w:val="hybridMultilevel"/>
    <w:tmpl w:val="9EACD254"/>
    <w:lvl w:ilvl="0" w:tplc="5EF0AD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0643A9"/>
    <w:multiLevelType w:val="hybridMultilevel"/>
    <w:tmpl w:val="E342E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856C51"/>
    <w:multiLevelType w:val="hybridMultilevel"/>
    <w:tmpl w:val="4EB27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670329D"/>
    <w:multiLevelType w:val="hybridMultilevel"/>
    <w:tmpl w:val="DE24A4C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68BB2DEA"/>
    <w:multiLevelType w:val="hybridMultilevel"/>
    <w:tmpl w:val="3A400DAE"/>
    <w:lvl w:ilvl="0" w:tplc="3A148F4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DE22DA"/>
    <w:multiLevelType w:val="hybridMultilevel"/>
    <w:tmpl w:val="36DAB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0"/>
  </w:num>
  <w:num w:numId="5">
    <w:abstractNumId w:val="5"/>
  </w:num>
  <w:num w:numId="6">
    <w:abstractNumId w:val="14"/>
  </w:num>
  <w:num w:numId="7">
    <w:abstractNumId w:val="6"/>
  </w:num>
  <w:num w:numId="8">
    <w:abstractNumId w:val="7"/>
  </w:num>
  <w:num w:numId="9">
    <w:abstractNumId w:val="13"/>
  </w:num>
  <w:num w:numId="10">
    <w:abstractNumId w:val="9"/>
  </w:num>
  <w:num w:numId="11">
    <w:abstractNumId w:val="15"/>
  </w:num>
  <w:num w:numId="12">
    <w:abstractNumId w:val="2"/>
  </w:num>
  <w:num w:numId="13">
    <w:abstractNumId w:val="12"/>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A9"/>
    <w:rsid w:val="00006586"/>
    <w:rsid w:val="000173F9"/>
    <w:rsid w:val="00045122"/>
    <w:rsid w:val="000466A9"/>
    <w:rsid w:val="00075A33"/>
    <w:rsid w:val="000A41E5"/>
    <w:rsid w:val="000A74F6"/>
    <w:rsid w:val="000A7CDF"/>
    <w:rsid w:val="000B4FB4"/>
    <w:rsid w:val="000C3F44"/>
    <w:rsid w:val="000D4860"/>
    <w:rsid w:val="000F2ABD"/>
    <w:rsid w:val="000F3C1E"/>
    <w:rsid w:val="001108CA"/>
    <w:rsid w:val="00170561"/>
    <w:rsid w:val="001B0139"/>
    <w:rsid w:val="001C36D9"/>
    <w:rsid w:val="001C4A12"/>
    <w:rsid w:val="001D7340"/>
    <w:rsid w:val="001F01DA"/>
    <w:rsid w:val="00213BEC"/>
    <w:rsid w:val="00221631"/>
    <w:rsid w:val="002362FC"/>
    <w:rsid w:val="0026146B"/>
    <w:rsid w:val="00261973"/>
    <w:rsid w:val="00267DB0"/>
    <w:rsid w:val="00281160"/>
    <w:rsid w:val="002812ED"/>
    <w:rsid w:val="002C388E"/>
    <w:rsid w:val="002C67C9"/>
    <w:rsid w:val="002E2D3B"/>
    <w:rsid w:val="002F42F9"/>
    <w:rsid w:val="003052D3"/>
    <w:rsid w:val="00376664"/>
    <w:rsid w:val="003850E4"/>
    <w:rsid w:val="0039594C"/>
    <w:rsid w:val="003973C0"/>
    <w:rsid w:val="003C706B"/>
    <w:rsid w:val="003F120A"/>
    <w:rsid w:val="003F2503"/>
    <w:rsid w:val="00430983"/>
    <w:rsid w:val="00431047"/>
    <w:rsid w:val="00437814"/>
    <w:rsid w:val="004D6497"/>
    <w:rsid w:val="004E34FF"/>
    <w:rsid w:val="004F0DD1"/>
    <w:rsid w:val="005132DA"/>
    <w:rsid w:val="0051500D"/>
    <w:rsid w:val="005229A8"/>
    <w:rsid w:val="005436EA"/>
    <w:rsid w:val="00562747"/>
    <w:rsid w:val="005B4B5F"/>
    <w:rsid w:val="005D216E"/>
    <w:rsid w:val="00610FA6"/>
    <w:rsid w:val="00643ACD"/>
    <w:rsid w:val="00646BA5"/>
    <w:rsid w:val="00652FBF"/>
    <w:rsid w:val="00666B7C"/>
    <w:rsid w:val="006D04D1"/>
    <w:rsid w:val="00714392"/>
    <w:rsid w:val="007258D6"/>
    <w:rsid w:val="00747B79"/>
    <w:rsid w:val="00770CDA"/>
    <w:rsid w:val="00772C3C"/>
    <w:rsid w:val="00772F52"/>
    <w:rsid w:val="00774FD5"/>
    <w:rsid w:val="007A44A2"/>
    <w:rsid w:val="007C77BA"/>
    <w:rsid w:val="007E29F7"/>
    <w:rsid w:val="0081332A"/>
    <w:rsid w:val="00826FB0"/>
    <w:rsid w:val="00834393"/>
    <w:rsid w:val="00842436"/>
    <w:rsid w:val="008466AE"/>
    <w:rsid w:val="00872EDD"/>
    <w:rsid w:val="008766AB"/>
    <w:rsid w:val="00896FEB"/>
    <w:rsid w:val="008E3634"/>
    <w:rsid w:val="008E61DB"/>
    <w:rsid w:val="008F014A"/>
    <w:rsid w:val="00923A29"/>
    <w:rsid w:val="00960D0A"/>
    <w:rsid w:val="00974CE0"/>
    <w:rsid w:val="009A13B9"/>
    <w:rsid w:val="009B039D"/>
    <w:rsid w:val="009D0E3B"/>
    <w:rsid w:val="009E6395"/>
    <w:rsid w:val="00A357BD"/>
    <w:rsid w:val="00A4641F"/>
    <w:rsid w:val="00A47F38"/>
    <w:rsid w:val="00A620F8"/>
    <w:rsid w:val="00A94BA9"/>
    <w:rsid w:val="00AD39A7"/>
    <w:rsid w:val="00AD7AAF"/>
    <w:rsid w:val="00AF71FF"/>
    <w:rsid w:val="00B114B8"/>
    <w:rsid w:val="00B12A97"/>
    <w:rsid w:val="00B16328"/>
    <w:rsid w:val="00B61062"/>
    <w:rsid w:val="00B8199F"/>
    <w:rsid w:val="00B8661C"/>
    <w:rsid w:val="00BE6716"/>
    <w:rsid w:val="00BF4D76"/>
    <w:rsid w:val="00C077B2"/>
    <w:rsid w:val="00C20EB5"/>
    <w:rsid w:val="00C9433D"/>
    <w:rsid w:val="00CA64F3"/>
    <w:rsid w:val="00CE6A47"/>
    <w:rsid w:val="00CF1A95"/>
    <w:rsid w:val="00D02B99"/>
    <w:rsid w:val="00D040A0"/>
    <w:rsid w:val="00D176F5"/>
    <w:rsid w:val="00D2369D"/>
    <w:rsid w:val="00D2531A"/>
    <w:rsid w:val="00D45F1B"/>
    <w:rsid w:val="00D627E6"/>
    <w:rsid w:val="00D8617A"/>
    <w:rsid w:val="00DA6B58"/>
    <w:rsid w:val="00DB030F"/>
    <w:rsid w:val="00DD0DAE"/>
    <w:rsid w:val="00DD6EA6"/>
    <w:rsid w:val="00DE14C3"/>
    <w:rsid w:val="00DF064D"/>
    <w:rsid w:val="00DF2516"/>
    <w:rsid w:val="00E028E0"/>
    <w:rsid w:val="00E034A4"/>
    <w:rsid w:val="00E36622"/>
    <w:rsid w:val="00E36DC6"/>
    <w:rsid w:val="00E74461"/>
    <w:rsid w:val="00E7772C"/>
    <w:rsid w:val="00E85D91"/>
    <w:rsid w:val="00EB10F9"/>
    <w:rsid w:val="00EC0027"/>
    <w:rsid w:val="00EE3125"/>
    <w:rsid w:val="00F51CD8"/>
    <w:rsid w:val="00F53A9B"/>
    <w:rsid w:val="00F81623"/>
    <w:rsid w:val="00F82111"/>
    <w:rsid w:val="00F92C65"/>
    <w:rsid w:val="00F97F76"/>
    <w:rsid w:val="00FA3817"/>
    <w:rsid w:val="00FD27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0133C-AD24-4069-9D49-D88D4560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4BA9"/>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99"/>
    <w:qFormat/>
    <w:rsid w:val="00A94BA9"/>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CZWSPPKTczwsplnapunktw">
    <w:name w:val="CZ_WSP_PKT – część wspólna punktów"/>
    <w:basedOn w:val="Normalny"/>
    <w:next w:val="Normalny"/>
    <w:uiPriority w:val="16"/>
    <w:qFormat/>
    <w:rsid w:val="00A94BA9"/>
    <w:pPr>
      <w:widowControl/>
      <w:autoSpaceDE/>
      <w:autoSpaceDN/>
      <w:adjustRightInd/>
      <w:spacing w:line="360" w:lineRule="auto"/>
      <w:jc w:val="both"/>
    </w:pPr>
    <w:rPr>
      <w:rFonts w:ascii="Times" w:hAnsi="Times"/>
      <w:bCs/>
      <w:sz w:val="24"/>
    </w:rPr>
  </w:style>
  <w:style w:type="paragraph" w:styleId="Akapitzlist">
    <w:name w:val="List Paragraph"/>
    <w:basedOn w:val="Normalny"/>
    <w:uiPriority w:val="34"/>
    <w:qFormat/>
    <w:rsid w:val="00A94BA9"/>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eksttreci">
    <w:name w:val="Tekst treści_"/>
    <w:basedOn w:val="Domylnaczcionkaakapitu"/>
    <w:qFormat/>
    <w:rsid w:val="00A94BA9"/>
    <w:rPr>
      <w:b w:val="0"/>
      <w:bCs w:val="0"/>
      <w:i w:val="0"/>
      <w:iCs w:val="0"/>
      <w:caps w:val="0"/>
      <w:smallCaps w:val="0"/>
      <w:strike w:val="0"/>
      <w:dstrike w:val="0"/>
      <w:u w:val="none"/>
    </w:rPr>
  </w:style>
  <w:style w:type="paragraph" w:customStyle="1" w:styleId="text-justify">
    <w:name w:val="text-justify"/>
    <w:basedOn w:val="Normalny"/>
    <w:rsid w:val="00A94BA9"/>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AD7AA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AA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B4FB4"/>
    <w:pPr>
      <w:tabs>
        <w:tab w:val="center" w:pos="4536"/>
        <w:tab w:val="right" w:pos="9072"/>
      </w:tabs>
    </w:pPr>
  </w:style>
  <w:style w:type="character" w:customStyle="1" w:styleId="NagwekZnak">
    <w:name w:val="Nagłówek Znak"/>
    <w:basedOn w:val="Domylnaczcionkaakapitu"/>
    <w:link w:val="Nagwek"/>
    <w:uiPriority w:val="99"/>
    <w:rsid w:val="000B4FB4"/>
    <w:rPr>
      <w:rFonts w:ascii="Arial" w:eastAsia="Times New Roman" w:hAnsi="Arial" w:cs="Arial"/>
      <w:sz w:val="20"/>
      <w:szCs w:val="20"/>
      <w:lang w:eastAsia="pl-PL"/>
    </w:rPr>
  </w:style>
  <w:style w:type="paragraph" w:styleId="Stopka">
    <w:name w:val="footer"/>
    <w:basedOn w:val="Normalny"/>
    <w:link w:val="StopkaZnak"/>
    <w:uiPriority w:val="99"/>
    <w:unhideWhenUsed/>
    <w:rsid w:val="000B4FB4"/>
    <w:pPr>
      <w:tabs>
        <w:tab w:val="center" w:pos="4536"/>
        <w:tab w:val="right" w:pos="9072"/>
      </w:tabs>
    </w:pPr>
  </w:style>
  <w:style w:type="character" w:customStyle="1" w:styleId="StopkaZnak">
    <w:name w:val="Stopka Znak"/>
    <w:basedOn w:val="Domylnaczcionkaakapitu"/>
    <w:link w:val="Stopka"/>
    <w:uiPriority w:val="99"/>
    <w:rsid w:val="000B4FB4"/>
    <w:rPr>
      <w:rFonts w:ascii="Arial" w:eastAsia="Times New Roman" w:hAnsi="Arial" w:cs="Arial"/>
      <w:sz w:val="20"/>
      <w:szCs w:val="20"/>
      <w:lang w:eastAsia="pl-PL"/>
    </w:rPr>
  </w:style>
  <w:style w:type="character" w:styleId="Odwoaniedokomentarza">
    <w:name w:val="annotation reference"/>
    <w:basedOn w:val="Domylnaczcionkaakapitu"/>
    <w:uiPriority w:val="99"/>
    <w:semiHidden/>
    <w:unhideWhenUsed/>
    <w:rsid w:val="00B12A97"/>
    <w:rPr>
      <w:sz w:val="16"/>
      <w:szCs w:val="16"/>
    </w:rPr>
  </w:style>
  <w:style w:type="paragraph" w:styleId="Tekstkomentarza">
    <w:name w:val="annotation text"/>
    <w:basedOn w:val="Normalny"/>
    <w:link w:val="TekstkomentarzaZnak"/>
    <w:uiPriority w:val="99"/>
    <w:semiHidden/>
    <w:unhideWhenUsed/>
    <w:rsid w:val="00B12A97"/>
  </w:style>
  <w:style w:type="character" w:customStyle="1" w:styleId="TekstkomentarzaZnak">
    <w:name w:val="Tekst komentarza Znak"/>
    <w:basedOn w:val="Domylnaczcionkaakapitu"/>
    <w:link w:val="Tekstkomentarza"/>
    <w:uiPriority w:val="99"/>
    <w:semiHidden/>
    <w:rsid w:val="00B12A97"/>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B12A97"/>
    <w:rPr>
      <w:b/>
      <w:bCs/>
    </w:rPr>
  </w:style>
  <w:style w:type="character" w:customStyle="1" w:styleId="TematkomentarzaZnak">
    <w:name w:val="Temat komentarza Znak"/>
    <w:basedOn w:val="TekstkomentarzaZnak"/>
    <w:link w:val="Tematkomentarza"/>
    <w:uiPriority w:val="99"/>
    <w:semiHidden/>
    <w:rsid w:val="00B12A97"/>
    <w:rPr>
      <w:rFonts w:ascii="Arial" w:eastAsia="Times New Roman" w:hAnsi="Arial" w:cs="Arial"/>
      <w:b/>
      <w:bCs/>
      <w:sz w:val="20"/>
      <w:szCs w:val="20"/>
      <w:lang w:eastAsia="pl-PL"/>
    </w:rPr>
  </w:style>
  <w:style w:type="paragraph" w:styleId="Tekstprzypisudolnego">
    <w:name w:val="footnote text"/>
    <w:basedOn w:val="Normalny"/>
    <w:link w:val="TekstprzypisudolnegoZnak"/>
    <w:uiPriority w:val="99"/>
    <w:semiHidden/>
    <w:unhideWhenUsed/>
    <w:rsid w:val="009A13B9"/>
  </w:style>
  <w:style w:type="character" w:customStyle="1" w:styleId="TekstprzypisudolnegoZnak">
    <w:name w:val="Tekst przypisu dolnego Znak"/>
    <w:basedOn w:val="Domylnaczcionkaakapitu"/>
    <w:link w:val="Tekstprzypisudolnego"/>
    <w:uiPriority w:val="99"/>
    <w:semiHidden/>
    <w:rsid w:val="009A13B9"/>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9A1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3EF2-F658-4AD0-B0E6-5CF85F91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7814</Words>
  <Characters>46890</Characters>
  <Application>Microsoft Office Word</Application>
  <DocSecurity>4</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54595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Zakrzewska Olga</dc:creator>
  <cp:keywords/>
  <dc:description/>
  <cp:lastModifiedBy>WWSIUE MSWiA</cp:lastModifiedBy>
  <cp:revision>2</cp:revision>
  <dcterms:created xsi:type="dcterms:W3CDTF">2024-08-02T08:18:00Z</dcterms:created>
  <dcterms:modified xsi:type="dcterms:W3CDTF">2024-08-02T08:18:00Z</dcterms:modified>
</cp:coreProperties>
</file>